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0"/>
      </w:pPr>
    </w:p>
    <w:p>
      <w:pPr>
        <w:spacing w:after="200"/>
      </w:pPr>
      <w:r>
        <w:rPr>
          <w:rFonts w:ascii="Arial" w:cs="Arial" w:eastAsia="Arial" w:hAnsi="Arial"/>
          <w:b/>
          <w:bCs/>
          <w:color w:val="7E90A6"/>
          <w:spacing w:val="200"/>
          <w:sz w:val="18"/>
          <w:szCs w:val="18"/>
        </w:rPr>
        <w:t xml:space="preserve">MINERVA AI ASSURANCE</w:t>
      </w:r>
    </w:p>
    <w:p>
      <w:pPr>
        <w:spacing w:after="120"/>
      </w:pPr>
      <w:r>
        <w:rPr>
          <w:rFonts w:ascii="Arial" w:cs="Arial" w:eastAsia="Arial" w:hAnsi="Arial"/>
          <w:b/>
          <w:bCs/>
          <w:color w:val="0C1F3F"/>
          <w:sz w:val="48"/>
          <w:szCs w:val="48"/>
        </w:rPr>
        <w:t xml:space="preserve">Fair Lending Adverse Impact Analysis</w:t>
      </w:r>
    </w:p>
    <w:p>
      <w:pPr>
        <w:spacing w:after="600"/>
      </w:pPr>
      <w:r>
        <w:rPr>
          <w:rFonts w:ascii="Arial" w:cs="Arial" w:eastAsia="Arial" w:hAnsi="Arial"/>
          <w:color w:val="546A8A"/>
          <w:sz w:val="26"/>
          <w:szCs w:val="26"/>
        </w:rPr>
        <w:t xml:space="preserve">Adverse Impact Analysis of Mortgage Lending Decisions in California</w:t>
      </w:r>
    </w:p>
    <w:p>
      <w:pPr>
        <w:pBdr>
          <w:bottom w:val="single" w:color="1565C0" w:sz="6" w:space="1"/>
        </w:pBdr>
        <w:spacing w:after="400"/>
      </w:pPr>
    </w:p>
    <w:p>
      <w:pPr>
        <w:spacing w:after="120"/>
      </w:pPr>
      <w:r>
        <w:rPr>
          <w:rFonts w:ascii="Arial" w:cs="Arial" w:eastAsia="Arial" w:hAnsi="Arial"/>
          <w:b/>
          <w:bCs/>
          <w:sz w:val="22"/>
          <w:szCs w:val="22"/>
        </w:rPr>
        <w:t xml:space="preserve">Data Source: </w:t>
      </w:r>
      <w:r>
        <w:rPr>
          <w:rFonts w:ascii="Arial" w:cs="Arial" w:eastAsia="Arial" w:hAnsi="Arial"/>
          <w:sz w:val="22"/>
          <w:szCs w:val="22"/>
        </w:rPr>
        <w:t xml:space="preserve">Home Mortgage Disclosure Act (HMDA), Consumer Financial Protection Bureau</w:t>
      </w:r>
    </w:p>
    <w:p>
      <w:pPr>
        <w:spacing w:after="120"/>
      </w:pPr>
      <w:r>
        <w:rPr>
          <w:rFonts w:ascii="Arial" w:cs="Arial" w:eastAsia="Arial" w:hAnsi="Arial"/>
          <w:b/>
          <w:bCs/>
          <w:sz w:val="22"/>
          <w:szCs w:val="22"/>
        </w:rPr>
        <w:t xml:space="preserve">Coverage: </w:t>
      </w:r>
      <w:r>
        <w:rPr>
          <w:rFonts w:ascii="Arial" w:cs="Arial" w:eastAsia="Arial" w:hAnsi="Arial"/>
          <w:sz w:val="22"/>
          <w:szCs w:val="22"/>
        </w:rPr>
        <w:t xml:space="preserve">California, Activity Year 2023</w:t>
      </w:r>
    </w:p>
    <w:p>
      <w:pPr>
        <w:spacing w:after="120"/>
      </w:pPr>
      <w:r>
        <w:rPr>
          <w:rFonts w:ascii="Arial" w:cs="Arial" w:eastAsia="Arial" w:hAnsi="Arial"/>
          <w:b/>
          <w:bCs/>
          <w:sz w:val="22"/>
          <w:szCs w:val="22"/>
        </w:rPr>
        <w:t xml:space="preserve">Loan Types: </w:t>
      </w:r>
      <w:r>
        <w:rPr>
          <w:rFonts w:ascii="Arial" w:cs="Arial" w:eastAsia="Arial" w:hAnsi="Arial"/>
          <w:sz w:val="22"/>
          <w:szCs w:val="22"/>
        </w:rPr>
        <w:t xml:space="preserve">All reported types (88.6% conventional, 7.8% FHA, 3.6% VA)</w:t>
      </w:r>
    </w:p>
    <w:p>
      <w:pPr>
        <w:spacing w:after="120"/>
      </w:pPr>
      <w:r>
        <w:rPr>
          <w:rFonts w:ascii="Arial" w:cs="Arial" w:eastAsia="Arial" w:hAnsi="Arial"/>
          <w:b/>
          <w:bCs/>
          <w:sz w:val="22"/>
          <w:szCs w:val="22"/>
        </w:rPr>
        <w:t xml:space="preserve">Loan Purposes: </w:t>
      </w:r>
      <w:r>
        <w:rPr>
          <w:rFonts w:ascii="Arial" w:cs="Arial" w:eastAsia="Arial" w:hAnsi="Arial"/>
          <w:sz w:val="22"/>
          <w:szCs w:val="22"/>
        </w:rPr>
        <w:t xml:space="preserve">All reported purposes (home purchase, home improvement, refinancing, cash-out refinancing)</w:t>
      </w:r>
    </w:p>
    <w:p>
      <w:pPr>
        <w:spacing w:after="120"/>
      </w:pPr>
      <w:r>
        <w:rPr>
          <w:rFonts w:ascii="Arial" w:cs="Arial" w:eastAsia="Arial" w:hAnsi="Arial"/>
          <w:b/>
          <w:bCs/>
          <w:sz w:val="22"/>
          <w:szCs w:val="22"/>
        </w:rPr>
        <w:t xml:space="preserve">Actions Included: </w:t>
      </w:r>
      <w:r>
        <w:rPr>
          <w:rFonts w:ascii="Arial" w:cs="Arial" w:eastAsia="Arial" w:hAnsi="Arial"/>
          <w:sz w:val="22"/>
          <w:szCs w:val="22"/>
        </w:rPr>
        <w:t xml:space="preserve">Originated and denied applications</w:t>
      </w:r>
    </w:p>
    <w:p>
      <w:pPr>
        <w:spacing w:after="120"/>
      </w:pPr>
      <w:r>
        <w:rPr>
          <w:rFonts w:ascii="Arial" w:cs="Arial" w:eastAsia="Arial" w:hAnsi="Arial"/>
          <w:b/>
          <w:bCs/>
          <w:sz w:val="22"/>
          <w:szCs w:val="22"/>
        </w:rPr>
        <w:t xml:space="preserve">Sample Size: </w:t>
      </w:r>
      <w:r>
        <w:rPr>
          <w:rFonts w:ascii="Arial" w:cs="Arial" w:eastAsia="Arial" w:hAnsi="Arial"/>
          <w:sz w:val="22"/>
          <w:szCs w:val="22"/>
        </w:rPr>
        <w:t xml:space="preserve">50,000 applications (originated and denied)</w:t>
      </w:r>
    </w:p>
    <w:p>
      <w:pPr>
        <w:spacing w:after="120"/>
      </w:pPr>
      <w:r>
        <w:rPr>
          <w:rFonts w:ascii="Arial" w:cs="Arial" w:eastAsia="Arial" w:hAnsi="Arial"/>
          <w:b/>
          <w:bCs/>
          <w:sz w:val="22"/>
          <w:szCs w:val="22"/>
        </w:rPr>
        <w:t xml:space="preserve">Date of Report: </w:t>
      </w:r>
      <w:r>
        <w:rPr>
          <w:rFonts w:ascii="Arial" w:cs="Arial" w:eastAsia="Arial" w:hAnsi="Arial"/>
          <w:sz w:val="22"/>
          <w:szCs w:val="22"/>
        </w:rPr>
        <w:t xml:space="preserve">February 2026</w:t>
      </w:r>
    </w:p>
    <w:p>
      <w:pPr>
        <w:spacing w:after="120"/>
      </w:pPr>
      <w:r>
        <w:rPr>
          <w:rFonts w:ascii="Arial" w:cs="Arial" w:eastAsia="Arial" w:hAnsi="Arial"/>
          <w:b/>
          <w:bCs/>
          <w:sz w:val="22"/>
          <w:szCs w:val="22"/>
        </w:rPr>
        <w:t xml:space="preserve">Classification: </w:t>
      </w:r>
      <w:r>
        <w:rPr>
          <w:rFonts w:ascii="Arial" w:cs="Arial" w:eastAsia="Arial" w:hAnsi="Arial"/>
          <w:sz w:val="22"/>
          <w:szCs w:val="22"/>
        </w:rPr>
        <w:t xml:space="preserve">CONFIDENTIAL</w:t>
      </w:r>
    </w:p>
    <w:p>
      <w:pPr>
        <w:spacing w:before="1200"/>
      </w:pPr>
    </w:p>
    <w:p>
      <w:pPr>
        <w:spacing w:after="60"/>
      </w:pPr>
      <w:r>
        <w:rPr>
          <w:rFonts w:ascii="Arial" w:cs="Arial" w:eastAsia="Arial" w:hAnsi="Arial"/>
          <w:color w:val="7E90A6"/>
          <w:sz w:val="20"/>
          <w:szCs w:val="20"/>
        </w:rPr>
        <w:t xml:space="preserve">Prepared by Minerva AI Assurance</w:t>
      </w:r>
    </w:p>
    <w:p>
      <w:pPr>
        <w:spacing w:after="60"/>
      </w:pPr>
      <w:r>
        <w:rPr>
          <w:rFonts w:ascii="Arial" w:cs="Arial" w:eastAsia="Arial" w:hAnsi="Arial"/>
          <w:color w:val="7E90A6"/>
          <w:sz w:val="20"/>
          <w:szCs w:val="20"/>
        </w:rPr>
        <w:t xml:space="preserve">Singapore  ·  United States</w:t>
      </w:r>
    </w:p>
    <w:p>
      <w:r>
        <w:rPr>
          <w:rFonts w:ascii="Arial" w:cs="Arial" w:eastAsia="Arial" w:hAnsi="Arial"/>
          <w:color w:val="7E90A6"/>
          <w:sz w:val="20"/>
          <w:szCs w:val="20"/>
        </w:rPr>
        <w:t xml:space="preserve">hello@trustminerva.com  ·  www.trustminerva.com</w:t>
      </w:r>
    </w:p>
    <w:p>
      <w:pPr>
        <w:sectPr>
          <w:pgSz w:w="12240" w:h="15840" w:orient="portrait"/>
          <w:pgMar w:top="1440" w:right="1440" w:bottom="1440" w:left="1440" w:header="708" w:footer="708" w:gutter="0"/>
          <w:pgNumType/>
          <w:docGrid w:linePitch="360"/>
        </w:sectPr>
      </w:pPr>
    </w:p>
    <w:p>
      <w:pPr>
        <w:pStyle w:val="Heading1"/>
      </w:pPr>
      <w: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pStyle w:val="Heading1"/>
        <w:spacing w:before="360" w:after="200"/>
      </w:pPr>
      <w:r>
        <w:t xml:space="preserve">1. Executive Summary</w:t>
      </w:r>
    </w:p>
    <w:p>
      <w:pPr>
        <w:spacing w:after="200" w:before="0" w:line="276"/>
      </w:pPr>
      <w:r>
        <w:t xml:space="preserve">Minerva AI Assurance conducted an independent adverse impact analysis of mortgage lending decisions in California using 2023 Home Mortgage Disclosure Act (HMDA) data published by the Consumer Financial Protection Bureau (CFPB). The analysis examined 50,000 loan applications across all reported loan types and purposes for evidence of disparate impact in approval rates across race, ethnicity, sex, and intersectional demographic groups.</w:t>
      </w:r>
    </w:p>
    <w:p>
      <w:pPr>
        <w:pStyle w:val="Heading2"/>
        <w:spacing w:before="240" w:after="200"/>
      </w:pPr>
      <w:r>
        <w:t xml:space="preserve">Key Findings</w:t>
      </w:r>
    </w:p>
    <w:p>
      <w:pPr>
        <w:spacing w:after="200" w:before="0" w:line="276"/>
      </w:pPr>
      <w:r>
        <w:rPr>
          <w:rFonts w:ascii="Arial" w:cs="Arial" w:eastAsia="Arial" w:hAnsi="Arial"/>
          <w:b/>
          <w:bCs/>
          <w:sz w:val="22"/>
          <w:szCs w:val="22"/>
        </w:rPr>
        <w:t xml:space="preserve">Four racial groups fall below the four-fifths threshold</w:t>
      </w:r>
      <w:r>
        <w:rPr>
          <w:rFonts w:ascii="Arial" w:cs="Arial" w:eastAsia="Arial" w:hAnsi="Arial"/>
          <w:sz w:val="22"/>
          <w:szCs w:val="22"/>
        </w:rPr>
        <w:t xml:space="preserve"> for mortgage approval rates. Native Hawaiian or Other Pacific Islander applicants experience the most severe disparity (Impact Ratio = 0.590), followed by American Indian or Alaska Native (IR = 0.660), applicants reporting two or more minority races (IR = 0.692), and Black or African American applicants (IR = 0.719). All four groups fail the four-fifths rule by significant margins.</w:t>
      </w:r>
    </w:p>
    <w:p>
      <w:pPr>
        <w:spacing w:after="200" w:before="0" w:line="276"/>
      </w:pPr>
      <w:r>
        <w:rPr>
          <w:rFonts w:ascii="Arial" w:cs="Arial" w:eastAsia="Arial" w:hAnsi="Arial"/>
          <w:b/>
          <w:bCs/>
          <w:sz w:val="22"/>
          <w:szCs w:val="22"/>
        </w:rPr>
        <w:t xml:space="preserve">Hispanic or Latino applicants</w:t>
      </w:r>
      <w:r>
        <w:rPr>
          <w:rFonts w:ascii="Arial" w:cs="Arial" w:eastAsia="Arial" w:hAnsi="Arial"/>
          <w:sz w:val="22"/>
          <w:szCs w:val="22"/>
        </w:rPr>
        <w:t xml:space="preserve"> show an approval rate of 54.2% compared to 68.6% for the reference group, producing an Impact Ratio of 0.791 — just below the 0.80 threshold.</w:t>
      </w:r>
    </w:p>
    <w:p>
      <w:pPr>
        <w:spacing w:after="200" w:before="0" w:line="276"/>
      </w:pPr>
      <w:r>
        <w:rPr>
          <w:rFonts w:ascii="Arial" w:cs="Arial" w:eastAsia="Arial" w:hAnsi="Arial"/>
          <w:b/>
          <w:bCs/>
          <w:sz w:val="22"/>
          <w:szCs w:val="22"/>
        </w:rPr>
        <w:t xml:space="preserve">Intersectional analysis reveals compounding effects</w:t>
      </w:r>
      <w:r>
        <w:rPr>
          <w:rFonts w:ascii="Arial" w:cs="Arial" w:eastAsia="Arial" w:hAnsi="Arial"/>
          <w:sz w:val="22"/>
          <w:szCs w:val="22"/>
        </w:rPr>
        <w:t xml:space="preserve"> that single-attribute testing does not capture. Black or African American male applicants fail the threshold (IR = 0.782) even though Black or African American female applicants pass (IR = 0.837). Native Hawaiian or Other Pacific Islander male applicants show the most severe intersectional disparity at IR = 0.576.</w:t>
      </w:r>
    </w:p>
    <w:p>
      <w:pPr>
        <w:spacing w:after="200" w:before="0" w:line="276"/>
      </w:pPr>
      <w:r>
        <w:rPr>
          <w:rFonts w:ascii="Arial" w:cs="Arial" w:eastAsia="Arial" w:hAnsi="Arial"/>
          <w:b/>
          <w:bCs/>
          <w:sz w:val="22"/>
          <w:szCs w:val="22"/>
        </w:rPr>
        <w:t xml:space="preserve">Income differences provide limited explanatory context.</w:t>
      </w:r>
      <w:r>
        <w:rPr>
          <w:rFonts w:ascii="Arial" w:cs="Arial" w:eastAsia="Arial" w:hAnsi="Arial"/>
          <w:sz w:val="22"/>
          <w:szCs w:val="22"/>
        </w:rPr>
        <w:t xml:space="preserve"> Among denied applicants, the median income gap between White ($109,000) and Black ($105,000) applicants is modest, while the approval rate gap is substantial (66.5% vs 52.2%). Income is a weak proxy for creditworthiness, and key underwriting variables (credit score, full DTI) are not available in the public HMDA dataset; causal inferences should not be drawn from income comparisons alone.</w:t>
      </w:r>
    </w:p>
    <w:p>
      <w:r>
        <w:br w:type="page"/>
      </w:r>
    </w:p>
    <w:p>
      <w:pPr>
        <w:pStyle w:val="Heading1"/>
        <w:spacing w:before="360" w:after="200"/>
      </w:pPr>
      <w:r>
        <w:t xml:space="preserve">2. Methodology</w:t>
      </w:r>
    </w:p>
    <w:p>
      <w:pPr>
        <w:pStyle w:val="Heading2"/>
        <w:spacing w:before="240" w:after="200"/>
      </w:pPr>
      <w:r>
        <w:t xml:space="preserve">2.1 Data Source</w:t>
      </w:r>
    </w:p>
    <w:p>
      <w:pPr>
        <w:spacing w:after="200" w:before="0" w:line="276"/>
      </w:pPr>
      <w:r>
        <w:t xml:space="preserve">This analysis uses data from the Home Mortgage Disclosure Act (HMDA), which requires financial institutions to report loan-level information about mortgage applications. HMDA data is published by the Consumer Financial Protection Bureau and is the most comprehensive publicly available source of information on U.S. mortgage market activity. The data is modified to protect applicant and borrower privacy.</w:t>
      </w:r>
    </w:p>
    <w:p>
      <w:pPr>
        <w:pStyle w:val="Heading2"/>
        <w:spacing w:before="240" w:after="200"/>
      </w:pPr>
      <w:r>
        <w:t xml:space="preserve">2.2 Sample Definition</w:t>
      </w:r>
    </w:p>
    <w:p>
      <w:pPr>
        <w:spacing w:after="200" w:before="0" w:line="276"/>
      </w:pPr>
      <w:r>
        <w:t xml:space="preserve">The sample consists of 50,000 mortgage applications filed in California during the 2023 activity year. The sample includes applications that were originated (approved, action_taken = 1) and applications that were denied (action_taken = 3). Applications that were withdrawn, closed for incompleteness, or resulted in other outcomes were excluded to create a clean approval/denial binary for adverse impact analysis.</w:t>
      </w:r>
    </w:p>
    <w:p>
      <w:pPr>
        <w:spacing w:after="200" w:before="0" w:line="276"/>
      </w:pPr>
      <w:r>
        <w:t xml:space="preserve">The sample encompasses all reported loan types and purposes, reflecting the full breadth of mortgage lending activity. The composition is as follows: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c>
          <w:tcPr>
            <w:tcW w:type="dxa" w:w="40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Parameter</w:t>
            </w:r>
          </w:p>
        </w:tc>
        <w:tc>
          <w:tcPr>
            <w:tcW w:type="dxa" w:w="536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Value</w:t>
            </w:r>
          </w:p>
        </w:tc>
      </w:tr>
      <w:tr>
        <w:tc>
          <w:tcPr>
            <w:tcW w:type="dxa" w:w="40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State</w:t>
            </w:r>
          </w:p>
        </w:tc>
        <w:tc>
          <w:tcPr>
            <w:tcW w:type="dxa" w:w="53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bCs/>
                <w:color w:val="0C1F3F"/>
                <w:sz w:val="18"/>
                <w:szCs w:val="18"/>
              </w:rPr>
              <w:t xml:space="preserve">California</w:t>
            </w:r>
          </w:p>
        </w:tc>
      </w:tr>
      <w:tr>
        <w:tc>
          <w:tcPr>
            <w:tcW w:type="dxa" w:w="40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Activity Year</w:t>
            </w:r>
          </w:p>
        </w:tc>
        <w:tc>
          <w:tcPr>
            <w:tcW w:type="dxa" w:w="53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bCs/>
                <w:color w:val="0C1F3F"/>
                <w:sz w:val="18"/>
                <w:szCs w:val="18"/>
              </w:rPr>
              <w:t xml:space="preserve">2023</w:t>
            </w:r>
          </w:p>
        </w:tc>
      </w:tr>
      <w:tr>
        <w:tc>
          <w:tcPr>
            <w:tcW w:type="dxa" w:w="40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Loan Types</w:t>
            </w:r>
          </w:p>
        </w:tc>
        <w:tc>
          <w:tcPr>
            <w:tcW w:type="dxa" w:w="53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bCs/>
                <w:color w:val="0C1F3F"/>
                <w:sz w:val="18"/>
                <w:szCs w:val="18"/>
              </w:rPr>
              <w:t xml:space="preserve">Conventional (88.6%), FHA (7.8%), VA (3.6%), USDA (&lt;0.1%)</w:t>
            </w:r>
          </w:p>
        </w:tc>
      </w:tr>
      <w:tr>
        <w:tc>
          <w:tcPr>
            <w:tcW w:type="dxa" w:w="40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Loan Purposes</w:t>
            </w:r>
          </w:p>
        </w:tc>
        <w:tc>
          <w:tcPr>
            <w:tcW w:type="dxa" w:w="53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bCs/>
                <w:color w:val="0C1F3F"/>
                <w:sz w:val="18"/>
                <w:szCs w:val="18"/>
              </w:rPr>
              <w:t xml:space="preserve">Home purchase (32.5%), Home improvement (28.7%), Other (20.6%), Cash-out refi (10.8%), Refinancing (7.4%)</w:t>
            </w:r>
          </w:p>
        </w:tc>
      </w:tr>
      <w:tr>
        <w:tc>
          <w:tcPr>
            <w:tcW w:type="dxa" w:w="40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Lien Status</w:t>
            </w:r>
          </w:p>
        </w:tc>
        <w:tc>
          <w:tcPr>
            <w:tcW w:type="dxa" w:w="53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bCs/>
                <w:color w:val="0C1F3F"/>
                <w:sz w:val="18"/>
                <w:szCs w:val="18"/>
              </w:rPr>
              <w:t xml:space="preserve">Second lien (53.1%), First lien (46.9%)</w:t>
            </w:r>
          </w:p>
        </w:tc>
      </w:tr>
      <w:tr>
        <w:tc>
          <w:tcPr>
            <w:tcW w:type="dxa" w:w="40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Occupancy</w:t>
            </w:r>
          </w:p>
        </w:tc>
        <w:tc>
          <w:tcPr>
            <w:tcW w:type="dxa" w:w="53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bCs/>
                <w:color w:val="0C1F3F"/>
                <w:sz w:val="18"/>
                <w:szCs w:val="18"/>
              </w:rPr>
              <w:t xml:space="preserve">Principal residence (92.7%), Investment (5.7%), Second residence (1.7%)</w:t>
            </w:r>
          </w:p>
        </w:tc>
      </w:tr>
      <w:tr>
        <w:tc>
          <w:tcPr>
            <w:tcW w:type="dxa" w:w="40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Dwelling Type</w:t>
            </w:r>
          </w:p>
        </w:tc>
        <w:tc>
          <w:tcPr>
            <w:tcW w:type="dxa" w:w="53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bCs/>
                <w:color w:val="0C1F3F"/>
                <w:sz w:val="18"/>
                <w:szCs w:val="18"/>
              </w:rPr>
              <w:t xml:space="preserve">Single family site-built (98.5%), Other (1.5%)</w:t>
            </w:r>
          </w:p>
        </w:tc>
      </w:tr>
      <w:tr>
        <w:tc>
          <w:tcPr>
            <w:tcW w:type="dxa" w:w="40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Actions Included</w:t>
            </w:r>
          </w:p>
        </w:tc>
        <w:tc>
          <w:tcPr>
            <w:tcW w:type="dxa" w:w="53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bCs/>
                <w:color w:val="0C1F3F"/>
                <w:sz w:val="18"/>
                <w:szCs w:val="18"/>
              </w:rPr>
              <w:t xml:space="preserve">Originated (1), Denied (3)</w:t>
            </w:r>
          </w:p>
        </w:tc>
      </w:tr>
      <w:tr>
        <w:tc>
          <w:tcPr>
            <w:tcW w:type="dxa" w:w="40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Total Applications</w:t>
            </w:r>
          </w:p>
        </w:tc>
        <w:tc>
          <w:tcPr>
            <w:tcW w:type="dxa" w:w="53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bCs/>
                <w:color w:val="0C1F3F"/>
                <w:sz w:val="18"/>
                <w:szCs w:val="18"/>
              </w:rPr>
              <w:t xml:space="preserve">50,000</w:t>
            </w:r>
          </w:p>
        </w:tc>
      </w:tr>
      <w:tr>
        <w:tc>
          <w:tcPr>
            <w:tcW w:type="dxa" w:w="40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Originated (Approved)</w:t>
            </w:r>
          </w:p>
        </w:tc>
        <w:tc>
          <w:tcPr>
            <w:tcW w:type="dxa" w:w="53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bCs/>
                <w:color w:val="0C1F3F"/>
                <w:sz w:val="18"/>
                <w:szCs w:val="18"/>
              </w:rPr>
              <w:t xml:space="preserve">31,864 (63.7%)</w:t>
            </w:r>
          </w:p>
        </w:tc>
      </w:tr>
      <w:tr>
        <w:tc>
          <w:tcPr>
            <w:tcW w:type="dxa" w:w="40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Denied</w:t>
            </w:r>
          </w:p>
        </w:tc>
        <w:tc>
          <w:tcPr>
            <w:tcW w:type="dxa" w:w="53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bCs/>
                <w:color w:val="0C1F3F"/>
                <w:sz w:val="18"/>
                <w:szCs w:val="18"/>
              </w:rPr>
              <w:t xml:space="preserve">18,136 (36.3%)</w:t>
            </w:r>
          </w:p>
        </w:tc>
      </w:tr>
    </w:tbl>
    <w:p>
      <w:pPr>
        <w:spacing w:after="200"/>
      </w:pPr>
    </w:p>
    <w:p>
      <w:pPr>
        <w:pStyle w:val="Heading2"/>
        <w:spacing w:before="240" w:after="200"/>
      </w:pPr>
      <w:r>
        <w:t xml:space="preserve">2.3 Analytical Framework</w:t>
      </w:r>
    </w:p>
    <w:p>
      <w:pPr>
        <w:spacing w:after="200" w:before="0" w:line="276"/>
      </w:pPr>
      <w:r>
        <w:t xml:space="preserve">The analysis applies the four-fifths (80%) rule as articulated in the EEOC Uniform Guidelines on Employee Selection Procedures and widely adopted in fair lending analysis. Under this rule, a selection rate (here, mortgage approval rate) for any group that is less than four-fifths (80%) of the rate for the group with the highest rate constitutes evidence of adverse impact.</w:t>
      </w:r>
    </w:p>
    <w:p>
      <w:pPr>
        <w:spacing w:after="200" w:before="0" w:line="276"/>
      </w:pPr>
      <w:r>
        <w:t xml:space="preserve">The Impact Ratio (IR) is calculated as:</w:t>
      </w:r>
    </w:p>
    <w:p>
      <w:pPr>
        <w:spacing w:after="200" w:before="0" w:line="276"/>
      </w:pPr>
      <w:r>
        <w:rPr>
          <w:rFonts w:ascii="Courier New" w:cs="Courier New" w:eastAsia="Courier New" w:hAnsi="Courier New"/>
          <w:color w:val="0C1F3F"/>
          <w:sz w:val="22"/>
          <w:szCs w:val="22"/>
        </w:rPr>
        <w:t xml:space="preserve">    IR = Approval Rate (test group) ÷ Approval Rate (reference group)</w:t>
      </w:r>
    </w:p>
    <w:p>
      <w:pPr>
        <w:spacing w:after="200" w:before="0" w:line="276"/>
      </w:pPr>
      <w:r>
        <w:t xml:space="preserve">An IR below 0.80 indicates potential adverse impact. The reference group is the group with the highest approval rate among groups with a sample size of at least 100 applications.</w:t>
      </w:r>
    </w:p>
    <w:p>
      <w:pPr>
        <w:spacing w:after="200" w:before="0" w:line="276"/>
      </w:pPr>
      <w:r>
        <w:rPr>
          <w:rFonts w:ascii="Arial" w:cs="Arial" w:eastAsia="Arial" w:hAnsi="Arial"/>
          <w:b/>
          <w:bCs/>
          <w:color w:val="0C1F3F"/>
          <w:sz w:val="22"/>
          <w:szCs w:val="22"/>
        </w:rPr>
        <w:t xml:space="preserve">Reference group note: </w:t>
      </w:r>
      <w:r>
        <w:rPr>
          <w:rFonts w:ascii="Arial" w:cs="Arial" w:eastAsia="Arial" w:hAnsi="Arial"/>
          <w:sz w:val="22"/>
          <w:szCs w:val="22"/>
        </w:rPr>
        <w:t xml:space="preserve">In this dataset, the Joint category (applicants of different demographic groups applying together) produces the highest approval rate for both race and ethnicity analyses. Using the highest-rate group as reference is a common adverse impact screening convention, though fair lending practitioners often prefer the majority demographic group (e.g., White, Not Hispanic or Latino) as the benchmark. Appendix A provides alternate reference group tables using these majority-group benchmarks for comparison.</w:t>
      </w:r>
    </w:p>
    <w:p>
      <w:pPr>
        <w:pStyle w:val="Heading2"/>
        <w:spacing w:before="240" w:after="200"/>
      </w:pPr>
      <w:r>
        <w:t xml:space="preserve">2.4 Demographic Attributes</w:t>
      </w:r>
    </w:p>
    <w:p>
      <w:pPr>
        <w:spacing w:after="200" w:before="0" w:line="276"/>
      </w:pPr>
      <w:r>
        <w:t xml:space="preserve">This analysis uses the CFPB’s derived demographic fields (derived_race, derived_ethnicity, derived_sex), which consolidate multiple reported attributes into single classifications. Records where demographic information was not available or reported as free-form text only are excluded from the relevant analysis sections. Joint classifications (indicating applicants of different demographic groups applying together) are included as a separate category.</w:t>
      </w:r>
    </w:p>
    <w:p>
      <w:pPr>
        <w:pStyle w:val="Heading2"/>
        <w:spacing w:before="240" w:after="200"/>
      </w:pPr>
      <w:r>
        <w:t xml:space="preserve">2.5 Intersectional Analysis</w:t>
      </w:r>
    </w:p>
    <w:p>
      <w:pPr>
        <w:spacing w:after="200" w:before="0" w:line="276"/>
      </w:pPr>
      <w:r>
        <w:t xml:space="preserve">In addition to single-attribute analysis, we examine approval rates for intersectional groups defined by the combination of race and sex, and ethnicity and sex. Intersectional analysis is critical because disparities can compound at group intersections in ways invisible to single-attribute testing. Groups with fewer than 30 applications are excluded from intersectional reporting because Impact Ratios become unstable and confidence intervals prohibitively wide at small sample sizes; results for excluded groups are available on request.</w:t>
      </w:r>
    </w:p>
    <w:p>
      <w:pPr>
        <w:pStyle w:val="Heading2"/>
        <w:spacing w:before="240" w:after="200"/>
      </w:pPr>
      <w:r>
        <w:t xml:space="preserve">2.6 Limitations</w:t>
      </w:r>
    </w:p>
    <w:p>
      <w:pPr>
        <w:spacing w:after="200" w:before="0" w:line="276"/>
      </w:pPr>
      <w:r>
        <w:t xml:space="preserve">This analysis measures disparate impact in outcomes (approval vs denial) but does not establish causation or discriminatory intent. Differences in approval rates may reflect legitimate underwriting factors (creditworthiness, debt-to-income ratio, property characteristics) that are not fully observable in the public HMDA dataset. Critically, applicant credit scores — widely regarded as the single strongest predictor of lending decisions — are not available in the public HMDA release. This creates a well-documented omitted variable problem: groups with lower average credit scores will show lower approval rates even in the absence of any discriminatory treatment, and HMDA-based disparity estimates will overstate the role of race or ethnicity in lending decisions.</w:t>
      </w:r>
    </w:p>
    <w:p>
      <w:pPr>
        <w:rPr>
          <w:rFonts w:ascii="Garamond" w:hAnsi="Garamond"/>
          <w:sz w:val="22"/>
          <w:szCs w:val="22"/>
        </w:rPr>
      </w:pPr>
      <w:r>
        <w:rPr>
          <w:rFonts w:ascii="Garamond" w:hAnsi="Garamond"/>
          <w:sz w:val="22"/>
          <w:szCs w:val="22"/>
        </w:rPr>
        <w:t xml:space="preserve">This limitation is well established in the literature. Research by the Federal Reserve Bank of Philadelphia using confidential HMDA data with credit scores found that the raw Black-White denial gap of approximately 12 percentage points shrinks by over 83% once credit scores and automated underwriting system (AUS) results are controlled for, leaving 1–2 percentage points of unexplained “excess denials.” The CFPB, the Federal Reserve, the GAO, and the OCC have all noted that HMDA data alone do not provide sufficient information to determine whether a lender is complying with fair lending laws. The disparities documented in this report are consistent with those reported by the CFPB in its annual HMDA summary and by organizations such as the Greenlining Institute, which has analyzed California HMDA data annually since 2015.</w:t>
      </w:r>
    </w:p>
    <w:p>
      <w:pPr>
        <w:rPr>
          <w:rFonts w:ascii="Garamond" w:hAnsi="Garamond"/>
          <w:sz w:val="22"/>
          <w:szCs w:val="22"/>
        </w:rPr>
      </w:pPr>
      <w:r>
        <w:rPr>
          <w:rFonts w:ascii="Garamond" w:hAnsi="Garamond"/>
          <w:sz w:val="22"/>
          <w:szCs w:val="22"/>
        </w:rPr>
        <w:t xml:space="preserve">Accordingly, the findings in this report should be interpreted as identifying statistical disparities that warrant further investigation — not as evidence of unlawful discrimination. A finding that a group falls below the four-fifths threshold is a screening indicator, not a conclusion. Determining whether observed disparities reflect discriminatory practices requires access to complete loan files, credit scores, and underwriting decision logic that is beyond the scope of public HMDA data.</w:t>
      </w:r>
    </w:p>
    <w:p>
      <w:pPr>
        <w:spacing w:after="200" w:before="0" w:line="276"/>
      </w:pPr>
      <w:r>
        <w:t xml:space="preserve">The sample of 50,000 represents a subset of California lending activity extracted by filing order and may not be perfectly representative of statewide patterns. The sample includes all loan types and purposes, which means observed disparities reflect aggregate lending decisions across product categories. Notably, second-lien loans comprise 53.1% of this sample, which may differ from the statewide first-lien/second-lien distribution; this reflects the filing order of institutions in the HMDA dataset. Product-level analysis (e.g., conventional first-lien home purchase only) is recommended for targeted investigation and may yield materially different results.</w:t>
      </w:r>
    </w:p>
    <w:p>
      <w:pPr>
        <w:spacing w:after="200" w:before="0" w:line="276"/>
      </w:pPr>
      <w:r>
        <w:t xml:space="preserve">This report presents statistical findings identifying disparities that may warrant further investigation. It does not constitute legal advice, and nothing in this report should be interpreted as a determination that any lender has engaged in unlawful discrimination.</w:t>
      </w:r>
    </w:p>
    <w:p>
      <w:r>
        <w:br w:type="page"/>
      </w:r>
    </w:p>
    <w:p>
      <w:pPr>
        <w:pStyle w:val="Heading1"/>
        <w:spacing w:before="360" w:after="200"/>
      </w:pPr>
      <w:r>
        <w:t xml:space="preserve">3. Findings: Approval Rates by Race</w:t>
      </w:r>
    </w:p>
    <w:p>
      <w:pPr>
        <w:spacing w:after="200" w:before="0" w:line="276"/>
      </w:pPr>
      <w:r>
        <w:t xml:space="preserve">Four racial groups exhibit approval rates below the four-fifths threshold relative to the reference group (Joint, 72.6% approval rate). The most severe disparity is observed among Native Hawaiian or Other Pacific Islander applicants, with an Impact Ratio of 0.590. These findings are based on 38,084 applications with valid race data.</w:t>
      </w:r>
    </w:p>
    <w:tbl>
      <w:tblPr>
        <w:tblW w:type="dxa" w:w="7360"/>
        <w:tblBorders>
          <w:top w:val="single" w:color="auto" w:sz="4"/>
          <w:left w:val="single" w:color="auto" w:sz="4"/>
          <w:bottom w:val="single" w:color="auto" w:sz="4"/>
          <w:right w:val="single" w:color="auto" w:sz="4"/>
          <w:insideH w:val="single" w:color="auto" w:sz="4"/>
          <w:insideV w:val="single" w:color="auto" w:sz="4"/>
        </w:tblBorders>
      </w:tblPr>
      <w:tblGrid>
        <w:gridCol w:w="2400"/>
        <w:gridCol w:w="1100"/>
        <w:gridCol w:w="1000"/>
        <w:gridCol w:w="1100"/>
        <w:gridCol w:w="1100"/>
        <w:gridCol w:w="660"/>
      </w:tblGrid>
      <w:tr>
        <w:tc>
          <w:tcPr>
            <w:tcW w:type="dxa" w:w="24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Race / Ethnicity</w:t>
            </w:r>
          </w:p>
        </w:tc>
        <w:tc>
          <w:tcPr>
            <w:tcW w:type="dxa" w:w="11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Applications</w:t>
            </w:r>
          </w:p>
        </w:tc>
        <w:tc>
          <w:tcPr>
            <w:tcW w:type="dxa" w:w="10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Approved</w:t>
            </w:r>
          </w:p>
        </w:tc>
        <w:tc>
          <w:tcPr>
            <w:tcW w:type="dxa" w:w="11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Approval Rate</w:t>
            </w:r>
          </w:p>
        </w:tc>
        <w:tc>
          <w:tcPr>
            <w:tcW w:type="dxa" w:w="11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Impact Ratio</w:t>
            </w:r>
          </w:p>
        </w:tc>
        <w:tc>
          <w:tcPr>
            <w:tcW w:type="dxa" w:w="66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Result</w:t>
            </w:r>
          </w:p>
        </w:tc>
      </w:tr>
      <w:tr>
        <w:tc>
          <w:tcPr>
            <w:tcW w:type="dxa" w:w="24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Joint (REF)</w:t>
            </w:r>
          </w:p>
        </w:tc>
        <w:tc>
          <w:tcPr>
            <w:tcW w:type="dxa" w:w="11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1,784</w:t>
            </w:r>
          </w:p>
        </w:tc>
        <w:tc>
          <w:tcPr>
            <w:tcW w:type="dxa" w:w="10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1,295</w:t>
            </w:r>
          </w:p>
        </w:tc>
        <w:tc>
          <w:tcPr>
            <w:tcW w:type="dxa" w:w="11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72.6%</w:t>
            </w:r>
          </w:p>
        </w:tc>
        <w:tc>
          <w:tcPr>
            <w:tcW w:type="dxa" w:w="11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1.000</w:t>
            </w:r>
          </w:p>
        </w:tc>
        <w:tc>
          <w:tcPr>
            <w:tcW w:type="dxa" w:w="6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bCs/>
                <w:color w:val="0C1F3F"/>
                <w:sz w:val="18"/>
                <w:szCs w:val="18"/>
              </w:rPr>
              <w:t xml:space="preserve">REF</w:t>
            </w:r>
          </w:p>
        </w:tc>
      </w:tr>
      <w:tr>
        <w:tc>
          <w:tcPr>
            <w:tcW w:type="dxa" w:w="24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White</w:t>
            </w:r>
          </w:p>
        </w:tc>
        <w:tc>
          <w:tcPr>
            <w:tcW w:type="dxa" w:w="11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25,720</w:t>
            </w:r>
          </w:p>
        </w:tc>
        <w:tc>
          <w:tcPr>
            <w:tcW w:type="dxa" w:w="10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17,104</w:t>
            </w:r>
          </w:p>
        </w:tc>
        <w:tc>
          <w:tcPr>
            <w:tcW w:type="dxa" w:w="11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66.5%</w:t>
            </w:r>
          </w:p>
        </w:tc>
        <w:tc>
          <w:tcPr>
            <w:tcW w:type="dxa" w:w="11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0.916</w:t>
            </w:r>
          </w:p>
        </w:tc>
        <w:tc>
          <w:tcPr>
            <w:tcW w:type="dxa" w:w="6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bCs/>
                <w:color w:val="2E7D4F"/>
                <w:sz w:val="18"/>
                <w:szCs w:val="18"/>
              </w:rPr>
              <w:t xml:space="preserve">PASS</w:t>
            </w:r>
          </w:p>
        </w:tc>
      </w:tr>
      <w:tr>
        <w:tc>
          <w:tcPr>
            <w:tcW w:type="dxa" w:w="24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Asian</w:t>
            </w:r>
          </w:p>
        </w:tc>
        <w:tc>
          <w:tcPr>
            <w:tcW w:type="dxa" w:w="11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7,288</w:t>
            </w:r>
          </w:p>
        </w:tc>
        <w:tc>
          <w:tcPr>
            <w:tcW w:type="dxa" w:w="10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4,455</w:t>
            </w:r>
          </w:p>
        </w:tc>
        <w:tc>
          <w:tcPr>
            <w:tcW w:type="dxa" w:w="11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61.1%</w:t>
            </w:r>
          </w:p>
        </w:tc>
        <w:tc>
          <w:tcPr>
            <w:tcW w:type="dxa" w:w="11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0.842</w:t>
            </w:r>
          </w:p>
        </w:tc>
        <w:tc>
          <w:tcPr>
            <w:tcW w:type="dxa" w:w="6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bCs/>
                <w:color w:val="2E7D4F"/>
                <w:sz w:val="18"/>
                <w:szCs w:val="18"/>
              </w:rPr>
              <w:t xml:space="preserve">PASS</w:t>
            </w:r>
          </w:p>
        </w:tc>
      </w:tr>
      <w:tr>
        <w:tc>
          <w:tcPr>
            <w:tcW w:type="dxa" w:w="24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Black or African American</w:t>
            </w:r>
          </w:p>
        </w:tc>
        <w:tc>
          <w:tcPr>
            <w:tcW w:type="dxa" w:w="11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2,307</w:t>
            </w:r>
          </w:p>
        </w:tc>
        <w:tc>
          <w:tcPr>
            <w:tcW w:type="dxa" w:w="10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1,204</w:t>
            </w:r>
          </w:p>
        </w:tc>
        <w:tc>
          <w:tcPr>
            <w:tcW w:type="dxa" w:w="11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52.2%</w:t>
            </w:r>
          </w:p>
        </w:tc>
        <w:tc>
          <w:tcPr>
            <w:tcW w:type="dxa" w:w="11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0.719</w:t>
            </w:r>
          </w:p>
        </w:tc>
        <w:tc>
          <w:tcPr>
            <w:tcW w:type="dxa" w:w="6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bCs/>
                <w:color w:val="B33A2E"/>
                <w:sz w:val="18"/>
                <w:szCs w:val="18"/>
              </w:rPr>
              <w:t xml:space="preserve">FAIL</w:t>
            </w:r>
          </w:p>
        </w:tc>
      </w:tr>
      <w:tr>
        <w:tc>
          <w:tcPr>
            <w:tcW w:type="dxa" w:w="24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American Indian / Alaska Native</w:t>
            </w:r>
          </w:p>
        </w:tc>
        <w:tc>
          <w:tcPr>
            <w:tcW w:type="dxa" w:w="11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530</w:t>
            </w:r>
          </w:p>
        </w:tc>
        <w:tc>
          <w:tcPr>
            <w:tcW w:type="dxa" w:w="10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254</w:t>
            </w:r>
          </w:p>
        </w:tc>
        <w:tc>
          <w:tcPr>
            <w:tcW w:type="dxa" w:w="11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47.9%</w:t>
            </w:r>
          </w:p>
        </w:tc>
        <w:tc>
          <w:tcPr>
            <w:tcW w:type="dxa" w:w="11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0.660</w:t>
            </w:r>
          </w:p>
        </w:tc>
        <w:tc>
          <w:tcPr>
            <w:tcW w:type="dxa" w:w="6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bCs/>
                <w:color w:val="B33A2E"/>
                <w:sz w:val="18"/>
                <w:szCs w:val="18"/>
              </w:rPr>
              <w:t xml:space="preserve">FAIL</w:t>
            </w:r>
          </w:p>
        </w:tc>
      </w:tr>
      <w:tr>
        <w:tc>
          <w:tcPr>
            <w:tcW w:type="dxa" w:w="24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Native Hawaiian / Pacific Islander</w:t>
            </w:r>
          </w:p>
        </w:tc>
        <w:tc>
          <w:tcPr>
            <w:tcW w:type="dxa" w:w="11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252</w:t>
            </w:r>
          </w:p>
        </w:tc>
        <w:tc>
          <w:tcPr>
            <w:tcW w:type="dxa" w:w="10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108</w:t>
            </w:r>
          </w:p>
        </w:tc>
        <w:tc>
          <w:tcPr>
            <w:tcW w:type="dxa" w:w="11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42.9%</w:t>
            </w:r>
          </w:p>
        </w:tc>
        <w:tc>
          <w:tcPr>
            <w:tcW w:type="dxa" w:w="11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0.590</w:t>
            </w:r>
          </w:p>
        </w:tc>
        <w:tc>
          <w:tcPr>
            <w:tcW w:type="dxa" w:w="6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bCs/>
                <w:color w:val="B33A2E"/>
                <w:sz w:val="18"/>
                <w:szCs w:val="18"/>
              </w:rPr>
              <w:t xml:space="preserve">FAIL</w:t>
            </w:r>
          </w:p>
        </w:tc>
      </w:tr>
      <w:tr>
        <w:tc>
          <w:tcPr>
            <w:tcW w:type="dxa" w:w="24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2 or more minority races</w:t>
            </w:r>
          </w:p>
        </w:tc>
        <w:tc>
          <w:tcPr>
            <w:tcW w:type="dxa" w:w="11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203</w:t>
            </w:r>
          </w:p>
        </w:tc>
        <w:tc>
          <w:tcPr>
            <w:tcW w:type="dxa" w:w="10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102</w:t>
            </w:r>
          </w:p>
        </w:tc>
        <w:tc>
          <w:tcPr>
            <w:tcW w:type="dxa" w:w="11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50.2%</w:t>
            </w:r>
          </w:p>
        </w:tc>
        <w:tc>
          <w:tcPr>
            <w:tcW w:type="dxa" w:w="11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0.692</w:t>
            </w:r>
          </w:p>
        </w:tc>
        <w:tc>
          <w:tcPr>
            <w:tcW w:type="dxa" w:w="6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bCs/>
                <w:color w:val="B33A2E"/>
                <w:sz w:val="18"/>
                <w:szCs w:val="18"/>
              </w:rPr>
              <w:t xml:space="preserve">FAIL</w:t>
            </w:r>
          </w:p>
        </w:tc>
      </w:tr>
    </w:tbl>
    <w:p>
      <w:pPr>
        <w:spacing w:after="200"/>
      </w:pPr>
    </w:p>
    <w:p>
      <w:pPr>
        <w:spacing w:after="200" w:before="0" w:line="276"/>
      </w:pPr>
      <w:r>
        <w:rPr>
          <w:rFonts w:ascii="Arial" w:cs="Arial" w:eastAsia="Arial" w:hAnsi="Arial"/>
          <w:b/>
          <w:bCs/>
          <w:color w:val="0C1F3F"/>
          <w:sz w:val="22"/>
          <w:szCs w:val="22"/>
        </w:rPr>
        <w:t xml:space="preserve">Interpretation: </w:t>
      </w:r>
      <w:r>
        <w:rPr>
          <w:rFonts w:ascii="Arial" w:cs="Arial" w:eastAsia="Arial" w:hAnsi="Arial"/>
          <w:sz w:val="22"/>
          <w:szCs w:val="22"/>
        </w:rPr>
        <w:t xml:space="preserve">Black or African American applicants are approved at a rate of 52.2% (95% CI: [50.2%, 54.2%]), which is 14.3 percentage points below the White approval rate (p &lt; 0.001). Native Hawaiian or Other Pacific Islander applicants experience the most severe disparity at 42.9% (95% CI: [36.7%, 49.0%]). All four failing groups show differences that are highly significant (p &lt; 0.001). Results with White as alternate reference group are provided in Appendix A.</w:t>
      </w:r>
    </w:p>
    <w:p>
      <w:r>
        <w:br w:type="page"/>
      </w:r>
    </w:p>
    <w:p>
      <w:pPr>
        <w:pStyle w:val="Heading1"/>
        <w:spacing w:before="360" w:after="200"/>
      </w:pPr>
      <w:r>
        <w:t xml:space="preserve">4. Findings: Approval Rates by Ethnicity</w:t>
      </w:r>
    </w:p>
    <w:p>
      <w:pPr>
        <w:spacing w:after="200" w:before="0" w:line="276"/>
      </w:pPr>
      <w:r>
        <w:t xml:space="preserve">Hispanic or Latino applicants show a meaningful disparity in approval rates relative to the Joint reference group, with an Impact Ratio of 0.791. The 12.0 percentage-point gap relative to Non-Hispanic applicants is significant (z = 22.14, p &lt; 0.001, 95% CI: [10.9pp, 13.0pp]). However, when White is used as the reference group, Hispanic or Latino applicants produce an IR of 0.819, which passes the four-fifths threshold (see Appendix A).</w:t>
      </w:r>
    </w:p>
    <w:tbl>
      <w:tblPr>
        <w:tblW w:type="dxa" w:w="7560"/>
        <w:tblBorders>
          <w:top w:val="single" w:color="auto" w:sz="4"/>
          <w:left w:val="single" w:color="auto" w:sz="4"/>
          <w:bottom w:val="single" w:color="auto" w:sz="4"/>
          <w:right w:val="single" w:color="auto" w:sz="4"/>
          <w:insideH w:val="single" w:color="auto" w:sz="4"/>
          <w:insideV w:val="single" w:color="auto" w:sz="4"/>
        </w:tblBorders>
      </w:tblPr>
      <w:tblGrid>
        <w:gridCol w:w="2600"/>
        <w:gridCol w:w="1100"/>
        <w:gridCol w:w="1000"/>
        <w:gridCol w:w="1100"/>
        <w:gridCol w:w="1100"/>
        <w:gridCol w:w="660"/>
      </w:tblGrid>
      <w:tr>
        <w:tc>
          <w:tcPr>
            <w:tcW w:type="dxa" w:w="26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Ethnicity</w:t>
            </w:r>
          </w:p>
        </w:tc>
        <w:tc>
          <w:tcPr>
            <w:tcW w:type="dxa" w:w="11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Applications</w:t>
            </w:r>
          </w:p>
        </w:tc>
        <w:tc>
          <w:tcPr>
            <w:tcW w:type="dxa" w:w="10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Approved</w:t>
            </w:r>
          </w:p>
        </w:tc>
        <w:tc>
          <w:tcPr>
            <w:tcW w:type="dxa" w:w="11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Approval Rate</w:t>
            </w:r>
          </w:p>
        </w:tc>
        <w:tc>
          <w:tcPr>
            <w:tcW w:type="dxa" w:w="11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Impact Ratio</w:t>
            </w:r>
          </w:p>
        </w:tc>
        <w:tc>
          <w:tcPr>
            <w:tcW w:type="dxa" w:w="66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Result</w:t>
            </w:r>
          </w:p>
        </w:tc>
      </w:tr>
      <w:tr>
        <w:tc>
          <w:tcPr>
            <w:tcW w:type="dxa" w:w="26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Joint (REF)</w:t>
            </w:r>
          </w:p>
        </w:tc>
        <w:tc>
          <w:tcPr>
            <w:tcW w:type="dxa" w:w="11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2,083</w:t>
            </w:r>
          </w:p>
        </w:tc>
        <w:tc>
          <w:tcPr>
            <w:tcW w:type="dxa" w:w="10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1,428</w:t>
            </w:r>
          </w:p>
        </w:tc>
        <w:tc>
          <w:tcPr>
            <w:tcW w:type="dxa" w:w="11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68.6%</w:t>
            </w:r>
          </w:p>
        </w:tc>
        <w:tc>
          <w:tcPr>
            <w:tcW w:type="dxa" w:w="11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1.000</w:t>
            </w:r>
          </w:p>
        </w:tc>
        <w:tc>
          <w:tcPr>
            <w:tcW w:type="dxa" w:w="6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bCs/>
                <w:color w:val="0C1F3F"/>
                <w:sz w:val="18"/>
                <w:szCs w:val="18"/>
              </w:rPr>
              <w:t xml:space="preserve">REF</w:t>
            </w:r>
          </w:p>
        </w:tc>
      </w:tr>
      <w:tr>
        <w:tc>
          <w:tcPr>
            <w:tcW w:type="dxa" w:w="26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Not Hispanic or Latino</w:t>
            </w:r>
          </w:p>
        </w:tc>
        <w:tc>
          <w:tcPr>
            <w:tcW w:type="dxa" w:w="11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27,524</w:t>
            </w:r>
          </w:p>
        </w:tc>
        <w:tc>
          <w:tcPr>
            <w:tcW w:type="dxa" w:w="10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18,222</w:t>
            </w:r>
          </w:p>
        </w:tc>
        <w:tc>
          <w:tcPr>
            <w:tcW w:type="dxa" w:w="11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66.2%</w:t>
            </w:r>
          </w:p>
        </w:tc>
        <w:tc>
          <w:tcPr>
            <w:tcW w:type="dxa" w:w="11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0.966</w:t>
            </w:r>
          </w:p>
        </w:tc>
        <w:tc>
          <w:tcPr>
            <w:tcW w:type="dxa" w:w="6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bCs/>
                <w:color w:val="2E7D4F"/>
                <w:sz w:val="18"/>
                <w:szCs w:val="18"/>
              </w:rPr>
              <w:t xml:space="preserve">PASS</w:t>
            </w:r>
          </w:p>
        </w:tc>
      </w:tr>
      <w:tr>
        <w:tc>
          <w:tcPr>
            <w:tcW w:type="dxa" w:w="26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Hispanic or Latino</w:t>
            </w:r>
          </w:p>
        </w:tc>
        <w:tc>
          <w:tcPr>
            <w:tcW w:type="dxa" w:w="11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11,272</w:t>
            </w:r>
          </w:p>
        </w:tc>
        <w:tc>
          <w:tcPr>
            <w:tcW w:type="dxa" w:w="10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6,113</w:t>
            </w:r>
          </w:p>
        </w:tc>
        <w:tc>
          <w:tcPr>
            <w:tcW w:type="dxa" w:w="11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54.2%</w:t>
            </w:r>
          </w:p>
        </w:tc>
        <w:tc>
          <w:tcPr>
            <w:tcW w:type="dxa" w:w="11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0.791</w:t>
            </w:r>
          </w:p>
        </w:tc>
        <w:tc>
          <w:tcPr>
            <w:tcW w:type="dxa" w:w="6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bCs/>
                <w:color w:val="B33A2E"/>
                <w:sz w:val="18"/>
                <w:szCs w:val="18"/>
              </w:rPr>
              <w:t xml:space="preserve">FAIL</w:t>
            </w:r>
          </w:p>
        </w:tc>
      </w:tr>
    </w:tbl>
    <w:p>
      <w:pPr>
        <w:spacing w:after="200"/>
      </w:pPr>
    </w:p>
    <w:p>
      <w:pPr>
        <w:spacing w:after="200" w:before="0" w:line="276"/>
      </w:pPr>
      <w:r>
        <w:rPr>
          <w:rFonts w:ascii="Arial" w:cs="Arial" w:eastAsia="Arial" w:hAnsi="Arial"/>
          <w:b/>
          <w:bCs/>
          <w:color w:val="0C1F3F"/>
          <w:sz w:val="22"/>
          <w:szCs w:val="22"/>
        </w:rPr>
        <w:t xml:space="preserve">Interpretation: </w:t>
      </w:r>
      <w:r>
        <w:rPr>
          <w:rFonts w:ascii="Arial" w:cs="Arial" w:eastAsia="Arial" w:hAnsi="Arial"/>
          <w:sz w:val="22"/>
          <w:szCs w:val="22"/>
        </w:rPr>
        <w:t xml:space="preserve">With over 11,000 applications, this disparity is practically significant and highly unlikely to be attributable to chance (p &lt; 0.001). However, reference group choice matters: when measured against White applicants (IR = 0.819) rather than Joint applicants (IR = 0.791), Hispanic or Latino applicants pass the four-fifths threshold. Alternate reference group results are presented in Appendix A.</w:t>
      </w:r>
    </w:p>
    <w:p>
      <w:r>
        <w:br w:type="page"/>
      </w:r>
    </w:p>
    <w:p>
      <w:pPr>
        <w:pStyle w:val="Heading1"/>
        <w:spacing w:before="360" w:after="200"/>
      </w:pPr>
      <w:r>
        <w:t xml:space="preserve">5. Findings: Approval Rates by Sex</w:t>
      </w:r>
    </w:p>
    <w:p>
      <w:pPr>
        <w:spacing w:after="200" w:before="0" w:line="276"/>
      </w:pPr>
      <w:r>
        <w:t xml:space="preserve">All sex-based groups pass the four-fifths threshold. Male applicants (57.4%) and Female applicants (59.3%) both fall below Joint applicants (71.5%), but the Impact Ratios remain above 0.80.</w:t>
      </w:r>
    </w:p>
    <w:tbl>
      <w:tblPr>
        <w:tblW w:type="dxa" w:w="7560"/>
        <w:tblBorders>
          <w:top w:val="single" w:color="auto" w:sz="4"/>
          <w:left w:val="single" w:color="auto" w:sz="4"/>
          <w:bottom w:val="single" w:color="auto" w:sz="4"/>
          <w:right w:val="single" w:color="auto" w:sz="4"/>
          <w:insideH w:val="single" w:color="auto" w:sz="4"/>
          <w:insideV w:val="single" w:color="auto" w:sz="4"/>
        </w:tblBorders>
      </w:tblPr>
      <w:tblGrid>
        <w:gridCol w:w="2600"/>
        <w:gridCol w:w="1100"/>
        <w:gridCol w:w="1000"/>
        <w:gridCol w:w="1100"/>
        <w:gridCol w:w="1100"/>
        <w:gridCol w:w="660"/>
      </w:tblGrid>
      <w:tr>
        <w:tc>
          <w:tcPr>
            <w:tcW w:type="dxa" w:w="26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Sex</w:t>
            </w:r>
          </w:p>
        </w:tc>
        <w:tc>
          <w:tcPr>
            <w:tcW w:type="dxa" w:w="11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Applications</w:t>
            </w:r>
          </w:p>
        </w:tc>
        <w:tc>
          <w:tcPr>
            <w:tcW w:type="dxa" w:w="10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Approved</w:t>
            </w:r>
          </w:p>
        </w:tc>
        <w:tc>
          <w:tcPr>
            <w:tcW w:type="dxa" w:w="11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Approval Rate</w:t>
            </w:r>
          </w:p>
        </w:tc>
        <w:tc>
          <w:tcPr>
            <w:tcW w:type="dxa" w:w="11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Impact Ratio</w:t>
            </w:r>
          </w:p>
        </w:tc>
        <w:tc>
          <w:tcPr>
            <w:tcW w:type="dxa" w:w="66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Result</w:t>
            </w:r>
          </w:p>
        </w:tc>
      </w:tr>
      <w:tr>
        <w:tc>
          <w:tcPr>
            <w:tcW w:type="dxa" w:w="26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Joint (REF)</w:t>
            </w:r>
          </w:p>
        </w:tc>
        <w:tc>
          <w:tcPr>
            <w:tcW w:type="dxa" w:w="11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18,516</w:t>
            </w:r>
          </w:p>
        </w:tc>
        <w:tc>
          <w:tcPr>
            <w:tcW w:type="dxa" w:w="10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13,246</w:t>
            </w:r>
          </w:p>
        </w:tc>
        <w:tc>
          <w:tcPr>
            <w:tcW w:type="dxa" w:w="11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71.5%</w:t>
            </w:r>
          </w:p>
        </w:tc>
        <w:tc>
          <w:tcPr>
            <w:tcW w:type="dxa" w:w="11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1.000</w:t>
            </w:r>
          </w:p>
        </w:tc>
        <w:tc>
          <w:tcPr>
            <w:tcW w:type="dxa" w:w="6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bCs/>
                <w:color w:val="0C1F3F"/>
                <w:sz w:val="18"/>
                <w:szCs w:val="18"/>
              </w:rPr>
              <w:t xml:space="preserve">REF</w:t>
            </w:r>
          </w:p>
        </w:tc>
      </w:tr>
      <w:tr>
        <w:tc>
          <w:tcPr>
            <w:tcW w:type="dxa" w:w="26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Female</w:t>
            </w:r>
          </w:p>
        </w:tc>
        <w:tc>
          <w:tcPr>
            <w:tcW w:type="dxa" w:w="11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10,346</w:t>
            </w:r>
          </w:p>
        </w:tc>
        <w:tc>
          <w:tcPr>
            <w:tcW w:type="dxa" w:w="10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6,131</w:t>
            </w:r>
          </w:p>
        </w:tc>
        <w:tc>
          <w:tcPr>
            <w:tcW w:type="dxa" w:w="11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59.3%</w:t>
            </w:r>
          </w:p>
        </w:tc>
        <w:tc>
          <w:tcPr>
            <w:tcW w:type="dxa" w:w="11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0.828</w:t>
            </w:r>
          </w:p>
        </w:tc>
        <w:tc>
          <w:tcPr>
            <w:tcW w:type="dxa" w:w="6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bCs/>
                <w:color w:val="2E7D4F"/>
                <w:sz w:val="18"/>
                <w:szCs w:val="18"/>
              </w:rPr>
              <w:t xml:space="preserve">PASS</w:t>
            </w:r>
          </w:p>
        </w:tc>
      </w:tr>
      <w:tr>
        <w:tc>
          <w:tcPr>
            <w:tcW w:type="dxa" w:w="26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Male</w:t>
            </w:r>
          </w:p>
        </w:tc>
        <w:tc>
          <w:tcPr>
            <w:tcW w:type="dxa" w:w="11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17,064</w:t>
            </w:r>
          </w:p>
        </w:tc>
        <w:tc>
          <w:tcPr>
            <w:tcW w:type="dxa" w:w="10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9,788</w:t>
            </w:r>
          </w:p>
        </w:tc>
        <w:tc>
          <w:tcPr>
            <w:tcW w:type="dxa" w:w="11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57.4%</w:t>
            </w:r>
          </w:p>
        </w:tc>
        <w:tc>
          <w:tcPr>
            <w:tcW w:type="dxa" w:w="11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0.802</w:t>
            </w:r>
          </w:p>
        </w:tc>
        <w:tc>
          <w:tcPr>
            <w:tcW w:type="dxa" w:w="6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bCs/>
                <w:color w:val="2E7D4F"/>
                <w:sz w:val="18"/>
                <w:szCs w:val="18"/>
              </w:rPr>
              <w:t xml:space="preserve">PASS</w:t>
            </w:r>
          </w:p>
        </w:tc>
      </w:tr>
    </w:tbl>
    <w:p>
      <w:pPr>
        <w:spacing w:after="200"/>
      </w:pPr>
    </w:p>
    <w:p>
      <w:pPr>
        <w:spacing w:after="200" w:before="0" w:line="276"/>
      </w:pPr>
      <w:r>
        <w:rPr>
          <w:rFonts w:ascii="Arial" w:cs="Arial" w:eastAsia="Arial" w:hAnsi="Arial"/>
          <w:b/>
          <w:bCs/>
          <w:color w:val="0C1F3F"/>
          <w:sz w:val="22"/>
          <w:szCs w:val="22"/>
        </w:rPr>
        <w:t xml:space="preserve">Note: </w:t>
      </w:r>
      <w:r>
        <w:rPr>
          <w:rFonts w:ascii="Arial" w:cs="Arial" w:eastAsia="Arial" w:hAnsi="Arial"/>
          <w:sz w:val="22"/>
          <w:szCs w:val="22"/>
        </w:rPr>
        <w:t xml:space="preserve">While sex-based groups pass the four-fifths rule, male applicants (IR = 0.802) are close to the threshold and warrant continued monitoring.</w:t>
      </w:r>
    </w:p>
    <w:p>
      <w:r>
        <w:br w:type="page"/>
      </w:r>
    </w:p>
    <w:p>
      <w:pPr>
        <w:pStyle w:val="Heading1"/>
        <w:spacing w:before="360" w:after="200"/>
      </w:pPr>
      <w:r>
        <w:t xml:space="preserve">6. Intersectional Analysis: Race × Sex</w:t>
      </w:r>
    </w:p>
    <w:p>
      <w:pPr>
        <w:spacing w:after="200" w:before="0" w:line="276"/>
      </w:pPr>
      <w:r>
        <w:t xml:space="preserve">Intersectional analysis examines approval rates for groups defined by the combination of race and sex. This analysis excludes Joint and multi-race categories to isolate single-identity intersections. Five intersectional groups fall below the four-fifths threshold.</w:t>
      </w:r>
    </w:p>
    <w:tbl>
      <w:tblPr>
        <w:tblW w:type="dxa" w:w="7660"/>
        <w:tblBorders>
          <w:top w:val="single" w:color="auto" w:sz="4"/>
          <w:left w:val="single" w:color="auto" w:sz="4"/>
          <w:bottom w:val="single" w:color="auto" w:sz="4"/>
          <w:right w:val="single" w:color="auto" w:sz="4"/>
          <w:insideH w:val="single" w:color="auto" w:sz="4"/>
          <w:insideV w:val="single" w:color="auto" w:sz="4"/>
        </w:tblBorders>
      </w:tblPr>
      <w:tblGrid>
        <w:gridCol w:w="3200"/>
        <w:gridCol w:w="1200"/>
        <w:gridCol w:w="1200"/>
        <w:gridCol w:w="1200"/>
        <w:gridCol w:w="860"/>
      </w:tblGrid>
      <w:tr>
        <w:tc>
          <w:tcPr>
            <w:tcW w:type="dxa" w:w="32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Group</w:t>
            </w:r>
          </w:p>
        </w:tc>
        <w:tc>
          <w:tcPr>
            <w:tcW w:type="dxa" w:w="12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Applications</w:t>
            </w:r>
          </w:p>
        </w:tc>
        <w:tc>
          <w:tcPr>
            <w:tcW w:type="dxa" w:w="12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Approval Rate</w:t>
            </w:r>
          </w:p>
        </w:tc>
        <w:tc>
          <w:tcPr>
            <w:tcW w:type="dxa" w:w="12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Impact Ratio</w:t>
            </w:r>
          </w:p>
        </w:tc>
        <w:tc>
          <w:tcPr>
            <w:tcW w:type="dxa" w:w="86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Result</w:t>
            </w:r>
          </w:p>
        </w:tc>
      </w:tr>
      <w:tr>
        <w:tc>
          <w:tcPr>
            <w:tcW w:type="dxa" w:w="3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White × Female (REF)</w:t>
            </w:r>
          </w:p>
        </w:tc>
        <w:tc>
          <w:tcPr>
            <w:tcW w:type="dxa" w:w="1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5,571</w:t>
            </w:r>
          </w:p>
        </w:tc>
        <w:tc>
          <w:tcPr>
            <w:tcW w:type="dxa" w:w="1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62.4%</w:t>
            </w:r>
          </w:p>
        </w:tc>
        <w:tc>
          <w:tcPr>
            <w:tcW w:type="dxa" w:w="1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1.000</w:t>
            </w:r>
          </w:p>
        </w:tc>
        <w:tc>
          <w:tcPr>
            <w:tcW w:type="dxa" w:w="8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bCs/>
                <w:color w:val="0C1F3F"/>
                <w:sz w:val="18"/>
                <w:szCs w:val="18"/>
              </w:rPr>
              <w:t xml:space="preserve">REF</w:t>
            </w:r>
          </w:p>
        </w:tc>
      </w:tr>
      <w:tr>
        <w:tc>
          <w:tcPr>
            <w:tcW w:type="dxa" w:w="3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White × Male</w:t>
            </w:r>
          </w:p>
        </w:tc>
        <w:tc>
          <w:tcPr>
            <w:tcW w:type="dxa" w:w="1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9,566</w:t>
            </w:r>
          </w:p>
        </w:tc>
        <w:tc>
          <w:tcPr>
            <w:tcW w:type="dxa" w:w="1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61.1%</w:t>
            </w:r>
          </w:p>
        </w:tc>
        <w:tc>
          <w:tcPr>
            <w:tcW w:type="dxa" w:w="1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0.978</w:t>
            </w:r>
          </w:p>
        </w:tc>
        <w:tc>
          <w:tcPr>
            <w:tcW w:type="dxa" w:w="8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bCs/>
                <w:color w:val="2E7D4F"/>
                <w:sz w:val="18"/>
                <w:szCs w:val="18"/>
              </w:rPr>
              <w:t xml:space="preserve">PASS</w:t>
            </w:r>
          </w:p>
        </w:tc>
      </w:tr>
      <w:tr>
        <w:tc>
          <w:tcPr>
            <w:tcW w:type="dxa" w:w="3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Asian × Female</w:t>
            </w:r>
          </w:p>
        </w:tc>
        <w:tc>
          <w:tcPr>
            <w:tcW w:type="dxa" w:w="1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1,772</w:t>
            </w:r>
          </w:p>
        </w:tc>
        <w:tc>
          <w:tcPr>
            <w:tcW w:type="dxa" w:w="1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58.7%</w:t>
            </w:r>
          </w:p>
        </w:tc>
        <w:tc>
          <w:tcPr>
            <w:tcW w:type="dxa" w:w="1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0.940</w:t>
            </w:r>
          </w:p>
        </w:tc>
        <w:tc>
          <w:tcPr>
            <w:tcW w:type="dxa" w:w="8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bCs/>
                <w:color w:val="2E7D4F"/>
                <w:sz w:val="18"/>
                <w:szCs w:val="18"/>
              </w:rPr>
              <w:t xml:space="preserve">PASS</w:t>
            </w:r>
          </w:p>
        </w:tc>
      </w:tr>
      <w:tr>
        <w:tc>
          <w:tcPr>
            <w:tcW w:type="dxa" w:w="3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Asian × Male</w:t>
            </w:r>
          </w:p>
        </w:tc>
        <w:tc>
          <w:tcPr>
            <w:tcW w:type="dxa" w:w="1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2,788</w:t>
            </w:r>
          </w:p>
        </w:tc>
        <w:tc>
          <w:tcPr>
            <w:tcW w:type="dxa" w:w="1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56.0%</w:t>
            </w:r>
          </w:p>
        </w:tc>
        <w:tc>
          <w:tcPr>
            <w:tcW w:type="dxa" w:w="1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0.897</w:t>
            </w:r>
          </w:p>
        </w:tc>
        <w:tc>
          <w:tcPr>
            <w:tcW w:type="dxa" w:w="8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bCs/>
                <w:color w:val="2E7D4F"/>
                <w:sz w:val="18"/>
                <w:szCs w:val="18"/>
              </w:rPr>
              <w:t xml:space="preserve">PASS</w:t>
            </w:r>
          </w:p>
        </w:tc>
      </w:tr>
      <w:tr>
        <w:tc>
          <w:tcPr>
            <w:tcW w:type="dxa" w:w="3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Black / Afr. American × Female</w:t>
            </w:r>
          </w:p>
        </w:tc>
        <w:tc>
          <w:tcPr>
            <w:tcW w:type="dxa" w:w="1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870</w:t>
            </w:r>
          </w:p>
        </w:tc>
        <w:tc>
          <w:tcPr>
            <w:tcW w:type="dxa" w:w="1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52.3%</w:t>
            </w:r>
          </w:p>
        </w:tc>
        <w:tc>
          <w:tcPr>
            <w:tcW w:type="dxa" w:w="1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0.837</w:t>
            </w:r>
          </w:p>
        </w:tc>
        <w:tc>
          <w:tcPr>
            <w:tcW w:type="dxa" w:w="8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bCs/>
                <w:color w:val="2E7D4F"/>
                <w:sz w:val="18"/>
                <w:szCs w:val="18"/>
              </w:rPr>
              <w:t xml:space="preserve">PASS</w:t>
            </w:r>
          </w:p>
        </w:tc>
      </w:tr>
      <w:tr>
        <w:tc>
          <w:tcPr>
            <w:tcW w:type="dxa" w:w="3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Black / Afr. American × Male</w:t>
            </w:r>
          </w:p>
        </w:tc>
        <w:tc>
          <w:tcPr>
            <w:tcW w:type="dxa" w:w="1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919</w:t>
            </w:r>
          </w:p>
        </w:tc>
        <w:tc>
          <w:tcPr>
            <w:tcW w:type="dxa" w:w="1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48.9%</w:t>
            </w:r>
          </w:p>
        </w:tc>
        <w:tc>
          <w:tcPr>
            <w:tcW w:type="dxa" w:w="1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0.782</w:t>
            </w:r>
          </w:p>
        </w:tc>
        <w:tc>
          <w:tcPr>
            <w:tcW w:type="dxa" w:w="8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bCs/>
                <w:color w:val="B33A2E"/>
                <w:sz w:val="18"/>
                <w:szCs w:val="18"/>
              </w:rPr>
              <w:t xml:space="preserve">FAIL</w:t>
            </w:r>
          </w:p>
        </w:tc>
      </w:tr>
      <w:tr>
        <w:tc>
          <w:tcPr>
            <w:tcW w:type="dxa" w:w="3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Am. Indian / AK Native × Male</w:t>
            </w:r>
          </w:p>
        </w:tc>
        <w:tc>
          <w:tcPr>
            <w:tcW w:type="dxa" w:w="1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266</w:t>
            </w:r>
          </w:p>
        </w:tc>
        <w:tc>
          <w:tcPr>
            <w:tcW w:type="dxa" w:w="1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48.5%</w:t>
            </w:r>
          </w:p>
        </w:tc>
        <w:tc>
          <w:tcPr>
            <w:tcW w:type="dxa" w:w="1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0.777</w:t>
            </w:r>
          </w:p>
        </w:tc>
        <w:tc>
          <w:tcPr>
            <w:tcW w:type="dxa" w:w="8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bCs/>
                <w:color w:val="B33A2E"/>
                <w:sz w:val="18"/>
                <w:szCs w:val="18"/>
              </w:rPr>
              <w:t xml:space="preserve">FAIL</w:t>
            </w:r>
          </w:p>
        </w:tc>
      </w:tr>
      <w:tr>
        <w:tc>
          <w:tcPr>
            <w:tcW w:type="dxa" w:w="3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Am. Indian / AK Native × Female</w:t>
            </w:r>
          </w:p>
        </w:tc>
        <w:tc>
          <w:tcPr>
            <w:tcW w:type="dxa" w:w="1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151</w:t>
            </w:r>
          </w:p>
        </w:tc>
        <w:tc>
          <w:tcPr>
            <w:tcW w:type="dxa" w:w="1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48.3%</w:t>
            </w:r>
          </w:p>
        </w:tc>
        <w:tc>
          <w:tcPr>
            <w:tcW w:type="dxa" w:w="1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0.774</w:t>
            </w:r>
          </w:p>
        </w:tc>
        <w:tc>
          <w:tcPr>
            <w:tcW w:type="dxa" w:w="8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bCs/>
                <w:color w:val="B33A2E"/>
                <w:sz w:val="18"/>
                <w:szCs w:val="18"/>
              </w:rPr>
              <w:t xml:space="preserve">FAIL</w:t>
            </w:r>
          </w:p>
        </w:tc>
      </w:tr>
      <w:tr>
        <w:tc>
          <w:tcPr>
            <w:tcW w:type="dxa" w:w="3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Nat. Hawaiian / Pac. Isl. × Female</w:t>
            </w:r>
          </w:p>
        </w:tc>
        <w:tc>
          <w:tcPr>
            <w:tcW w:type="dxa" w:w="1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68</w:t>
            </w:r>
          </w:p>
        </w:tc>
        <w:tc>
          <w:tcPr>
            <w:tcW w:type="dxa" w:w="1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38.2%</w:t>
            </w:r>
          </w:p>
        </w:tc>
        <w:tc>
          <w:tcPr>
            <w:tcW w:type="dxa" w:w="1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0.612</w:t>
            </w:r>
          </w:p>
        </w:tc>
        <w:tc>
          <w:tcPr>
            <w:tcW w:type="dxa" w:w="8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bCs/>
                <w:color w:val="B33A2E"/>
                <w:sz w:val="18"/>
                <w:szCs w:val="18"/>
              </w:rPr>
              <w:t xml:space="preserve">FAIL</w:t>
            </w:r>
          </w:p>
        </w:tc>
      </w:tr>
      <w:tr>
        <w:tc>
          <w:tcPr>
            <w:tcW w:type="dxa" w:w="3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Nat. Hawaiian / Pac. Isl. × Male</w:t>
            </w:r>
          </w:p>
        </w:tc>
        <w:tc>
          <w:tcPr>
            <w:tcW w:type="dxa" w:w="1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114</w:t>
            </w:r>
          </w:p>
        </w:tc>
        <w:tc>
          <w:tcPr>
            <w:tcW w:type="dxa" w:w="1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36.0%</w:t>
            </w:r>
          </w:p>
        </w:tc>
        <w:tc>
          <w:tcPr>
            <w:tcW w:type="dxa" w:w="1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0.576</w:t>
            </w:r>
          </w:p>
        </w:tc>
        <w:tc>
          <w:tcPr>
            <w:tcW w:type="dxa" w:w="8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bCs/>
                <w:color w:val="B33A2E"/>
                <w:sz w:val="18"/>
                <w:szCs w:val="18"/>
              </w:rPr>
              <w:t xml:space="preserve">FAIL</w:t>
            </w:r>
          </w:p>
        </w:tc>
      </w:tr>
    </w:tbl>
    <w:p>
      <w:pPr>
        <w:spacing w:after="200"/>
      </w:pPr>
    </w:p>
    <w:p>
      <w:pPr>
        <w:spacing w:after="200" w:before="0" w:line="276"/>
      </w:pPr>
      <w:r>
        <w:rPr>
          <w:rFonts w:ascii="Arial" w:cs="Arial" w:eastAsia="Arial" w:hAnsi="Arial"/>
          <w:b/>
          <w:bCs/>
          <w:color w:val="B33A2E"/>
          <w:sz w:val="22"/>
          <w:szCs w:val="22"/>
        </w:rPr>
        <w:t xml:space="preserve">Critical finding: </w:t>
      </w:r>
      <w:r>
        <w:rPr>
          <w:rFonts w:ascii="Arial" w:cs="Arial" w:eastAsia="Arial" w:hAnsi="Arial"/>
          <w:sz w:val="22"/>
          <w:szCs w:val="22"/>
        </w:rPr>
        <w:t xml:space="preserve">Black or African American male applicants fail the four-fifths rule (IR = 0.782) even though Black or African American female applicants pass (IR = 0.837). This 3.4 percentage-point gap between male and female applicants within the same racial group demonstrates the compounding effect that intersectional analysis is designed to detect. Single-attribute race analysis alone would have obscured this sex-based disparity within the Black or African American population.</w:t>
      </w:r>
    </w:p>
    <w:p>
      <w:r>
        <w:br w:type="page"/>
      </w:r>
    </w:p>
    <w:p>
      <w:pPr>
        <w:pStyle w:val="Heading1"/>
        <w:spacing w:before="360" w:after="200"/>
      </w:pPr>
      <w:r>
        <w:t xml:space="preserve">7. Intersectional Analysis: Ethnicity × Sex</w:t>
      </w:r>
    </w:p>
    <w:p>
      <w:pPr>
        <w:spacing w:after="200" w:before="0" w:line="276"/>
      </w:pPr>
      <w:r>
        <w:t xml:space="preserve">Hispanic or Latino male applicants fall below the four-fifths threshold (IR = 0.794) while Hispanic or Latino female applicants pass (IR = 0.821).</w:t>
      </w:r>
    </w:p>
    <w:tbl>
      <w:tblPr>
        <w:tblW w:type="dxa" w:w="7660"/>
        <w:tblBorders>
          <w:top w:val="single" w:color="auto" w:sz="4"/>
          <w:left w:val="single" w:color="auto" w:sz="4"/>
          <w:bottom w:val="single" w:color="auto" w:sz="4"/>
          <w:right w:val="single" w:color="auto" w:sz="4"/>
          <w:insideH w:val="single" w:color="auto" w:sz="4"/>
          <w:insideV w:val="single" w:color="auto" w:sz="4"/>
        </w:tblBorders>
      </w:tblPr>
      <w:tblGrid>
        <w:gridCol w:w="3200"/>
        <w:gridCol w:w="1200"/>
        <w:gridCol w:w="1200"/>
        <w:gridCol w:w="1200"/>
        <w:gridCol w:w="860"/>
      </w:tblGrid>
      <w:tr>
        <w:tc>
          <w:tcPr>
            <w:tcW w:type="dxa" w:w="32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Group</w:t>
            </w:r>
          </w:p>
        </w:tc>
        <w:tc>
          <w:tcPr>
            <w:tcW w:type="dxa" w:w="12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Applications</w:t>
            </w:r>
          </w:p>
        </w:tc>
        <w:tc>
          <w:tcPr>
            <w:tcW w:type="dxa" w:w="12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Approval Rate</w:t>
            </w:r>
          </w:p>
        </w:tc>
        <w:tc>
          <w:tcPr>
            <w:tcW w:type="dxa" w:w="12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Impact Ratio</w:t>
            </w:r>
          </w:p>
        </w:tc>
        <w:tc>
          <w:tcPr>
            <w:tcW w:type="dxa" w:w="86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Result</w:t>
            </w:r>
          </w:p>
        </w:tc>
      </w:tr>
      <w:tr>
        <w:tc>
          <w:tcPr>
            <w:tcW w:type="dxa" w:w="3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Not Hispanic/Latino × Female (REF)</w:t>
            </w:r>
          </w:p>
        </w:tc>
        <w:tc>
          <w:tcPr>
            <w:tcW w:type="dxa" w:w="1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6,529</w:t>
            </w:r>
          </w:p>
        </w:tc>
        <w:tc>
          <w:tcPr>
            <w:tcW w:type="dxa" w:w="1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61.8%</w:t>
            </w:r>
          </w:p>
        </w:tc>
        <w:tc>
          <w:tcPr>
            <w:tcW w:type="dxa" w:w="1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1.000</w:t>
            </w:r>
          </w:p>
        </w:tc>
        <w:tc>
          <w:tcPr>
            <w:tcW w:type="dxa" w:w="8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bCs/>
                <w:color w:val="0C1F3F"/>
                <w:sz w:val="18"/>
                <w:szCs w:val="18"/>
              </w:rPr>
              <w:t xml:space="preserve">REF</w:t>
            </w:r>
          </w:p>
        </w:tc>
      </w:tr>
      <w:tr>
        <w:tc>
          <w:tcPr>
            <w:tcW w:type="dxa" w:w="3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Not Hispanic/Latino × Male</w:t>
            </w:r>
          </w:p>
        </w:tc>
        <w:tc>
          <w:tcPr>
            <w:tcW w:type="dxa" w:w="1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9,690</w:t>
            </w:r>
          </w:p>
        </w:tc>
        <w:tc>
          <w:tcPr>
            <w:tcW w:type="dxa" w:w="1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61.0%</w:t>
            </w:r>
          </w:p>
        </w:tc>
        <w:tc>
          <w:tcPr>
            <w:tcW w:type="dxa" w:w="1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0.987</w:t>
            </w:r>
          </w:p>
        </w:tc>
        <w:tc>
          <w:tcPr>
            <w:tcW w:type="dxa" w:w="8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bCs/>
                <w:color w:val="2E7D4F"/>
                <w:sz w:val="18"/>
                <w:szCs w:val="18"/>
              </w:rPr>
              <w:t xml:space="preserve">PASS</w:t>
            </w:r>
          </w:p>
        </w:tc>
      </w:tr>
      <w:tr>
        <w:tc>
          <w:tcPr>
            <w:tcW w:type="dxa" w:w="3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Hispanic/Latino × Female</w:t>
            </w:r>
          </w:p>
        </w:tc>
        <w:tc>
          <w:tcPr>
            <w:tcW w:type="dxa" w:w="1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2,463</w:t>
            </w:r>
          </w:p>
        </w:tc>
        <w:tc>
          <w:tcPr>
            <w:tcW w:type="dxa" w:w="1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50.8%</w:t>
            </w:r>
          </w:p>
        </w:tc>
        <w:tc>
          <w:tcPr>
            <w:tcW w:type="dxa" w:w="1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0.821</w:t>
            </w:r>
          </w:p>
        </w:tc>
        <w:tc>
          <w:tcPr>
            <w:tcW w:type="dxa" w:w="8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bCs/>
                <w:color w:val="2E7D4F"/>
                <w:sz w:val="18"/>
                <w:szCs w:val="18"/>
              </w:rPr>
              <w:t xml:space="preserve">PASS</w:t>
            </w:r>
          </w:p>
        </w:tc>
      </w:tr>
      <w:tr>
        <w:tc>
          <w:tcPr>
            <w:tcW w:type="dxa" w:w="3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Hispanic/Latino × Male</w:t>
            </w:r>
          </w:p>
        </w:tc>
        <w:tc>
          <w:tcPr>
            <w:tcW w:type="dxa" w:w="1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5,130</w:t>
            </w:r>
          </w:p>
        </w:tc>
        <w:tc>
          <w:tcPr>
            <w:tcW w:type="dxa" w:w="1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49.0%</w:t>
            </w:r>
          </w:p>
        </w:tc>
        <w:tc>
          <w:tcPr>
            <w:tcW w:type="dxa" w:w="1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0.794</w:t>
            </w:r>
          </w:p>
        </w:tc>
        <w:tc>
          <w:tcPr>
            <w:tcW w:type="dxa" w:w="8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bCs/>
                <w:color w:val="B33A2E"/>
                <w:sz w:val="18"/>
                <w:szCs w:val="18"/>
              </w:rPr>
              <w:t xml:space="preserve">FAIL</w:t>
            </w:r>
          </w:p>
        </w:tc>
      </w:tr>
    </w:tbl>
    <w:p>
      <w:pPr>
        <w:spacing w:after="200"/>
      </w:pPr>
    </w:p>
    <w:p>
      <w:pPr>
        <w:spacing w:after="200" w:before="0" w:line="276"/>
      </w:pPr>
      <w:r>
        <w:rPr>
          <w:rFonts w:ascii="Arial" w:cs="Arial" w:eastAsia="Arial" w:hAnsi="Arial"/>
          <w:b/>
          <w:bCs/>
          <w:color w:val="0C1F3F"/>
          <w:sz w:val="22"/>
          <w:szCs w:val="22"/>
        </w:rPr>
        <w:t xml:space="preserve">Interpretation: </w:t>
      </w:r>
      <w:r>
        <w:rPr>
          <w:rFonts w:ascii="Arial" w:cs="Arial" w:eastAsia="Arial" w:hAnsi="Arial"/>
          <w:sz w:val="22"/>
          <w:szCs w:val="22"/>
        </w:rPr>
        <w:t xml:space="preserve">The disparity for Hispanic or Latino male applicants (IR = 0.794) is marginal but involves a large population (5,130 applications), making it practically significant.</w:t>
      </w:r>
    </w:p>
    <w:p>
      <w:r>
        <w:br w:type="page"/>
      </w:r>
    </w:p>
    <w:p>
      <w:pPr>
        <w:pStyle w:val="Heading1"/>
        <w:spacing w:before="360" w:after="200"/>
      </w:pPr>
      <w:r>
        <w:t xml:space="preserve">8. Contextual Analysis</w:t>
      </w:r>
    </w:p>
    <w:p>
      <w:pPr>
        <w:pStyle w:val="Heading2"/>
        <w:spacing w:before="240" w:after="200"/>
      </w:pPr>
      <w:r>
        <w:t xml:space="preserve">8.1 Denial Reasons by Race</w:t>
      </w:r>
    </w:p>
    <w:p>
      <w:pPr>
        <w:spacing w:after="200" w:before="0" w:line="276"/>
      </w:pPr>
      <w:r>
        <w:t xml:space="preserve">HMDA data includes up to four denial reason fields per application. The table below uses the primary denial reason (denial_reason_1) only; 21.6% of denied applications also report a secondary reason. HMDA denial reason codes are: 1 = Debt-to-income ratio, 2 = Employment history, 3 = Credit history, 4 = Collateral, 5 = Insufficient cash, 6 = Unverifiable information, 7 = Credit application incomplete, 8 = Mortgage insurance denied, 9 = Other, 10 = Not applicable. Categories with fewer than 3% share across all groups are consolidated into the figures below.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400"/>
        <w:gridCol w:w="1800"/>
        <w:gridCol w:w="1400"/>
        <w:gridCol w:w="2360"/>
      </w:tblGrid>
      <w:tr>
        <w:tc>
          <w:tcPr>
            <w:tcW w:type="dxa" w:w="24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Denial Reason</w:t>
            </w:r>
          </w:p>
        </w:tc>
        <w:tc>
          <w:tcPr>
            <w:tcW w:type="dxa" w:w="14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White</w:t>
            </w:r>
          </w:p>
        </w:tc>
        <w:tc>
          <w:tcPr>
            <w:tcW w:type="dxa" w:w="18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Black/Afr. Am.</w:t>
            </w:r>
          </w:p>
        </w:tc>
        <w:tc>
          <w:tcPr>
            <w:tcW w:type="dxa" w:w="14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Asian</w:t>
            </w:r>
          </w:p>
        </w:tc>
        <w:tc>
          <w:tcPr>
            <w:tcW w:type="dxa" w:w="236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Am. Indian/AK Native</w:t>
            </w:r>
          </w:p>
        </w:tc>
      </w:tr>
      <w:tr>
        <w:tc>
          <w:tcPr>
            <w:tcW w:type="dxa" w:w="24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Debt-to-income ratio</w:t>
            </w:r>
          </w:p>
        </w:tc>
        <w:tc>
          <w:tcPr>
            <w:tcW w:type="dxa" w:w="14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42.5%</w:t>
            </w:r>
          </w:p>
        </w:tc>
        <w:tc>
          <w:tcPr>
            <w:tcW w:type="dxa" w:w="1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34.9%</w:t>
            </w:r>
          </w:p>
        </w:tc>
        <w:tc>
          <w:tcPr>
            <w:tcW w:type="dxa" w:w="14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48.4%</w:t>
            </w:r>
          </w:p>
        </w:tc>
        <w:tc>
          <w:tcPr>
            <w:tcW w:type="dxa" w:w="23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bCs/>
                <w:color w:val="0C1F3F"/>
                <w:sz w:val="18"/>
                <w:szCs w:val="18"/>
              </w:rPr>
              <w:t xml:space="preserve">36.2%</w:t>
            </w:r>
          </w:p>
        </w:tc>
      </w:tr>
      <w:tr>
        <w:tc>
          <w:tcPr>
            <w:tcW w:type="dxa" w:w="24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Credit history</w:t>
            </w:r>
          </w:p>
        </w:tc>
        <w:tc>
          <w:tcPr>
            <w:tcW w:type="dxa" w:w="14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21.7%</w:t>
            </w:r>
          </w:p>
        </w:tc>
        <w:tc>
          <w:tcPr>
            <w:tcW w:type="dxa" w:w="18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26.3%</w:t>
            </w:r>
          </w:p>
        </w:tc>
        <w:tc>
          <w:tcPr>
            <w:tcW w:type="dxa" w:w="14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18.8%</w:t>
            </w:r>
          </w:p>
        </w:tc>
        <w:tc>
          <w:tcPr>
            <w:tcW w:type="dxa" w:w="23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bCs/>
                <w:color w:val="0C1F3F"/>
                <w:sz w:val="18"/>
                <w:szCs w:val="18"/>
              </w:rPr>
              <w:t xml:space="preserve">29.7%</w:t>
            </w:r>
          </w:p>
        </w:tc>
      </w:tr>
      <w:tr>
        <w:tc>
          <w:tcPr>
            <w:tcW w:type="dxa" w:w="24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Collateral</w:t>
            </w:r>
          </w:p>
        </w:tc>
        <w:tc>
          <w:tcPr>
            <w:tcW w:type="dxa" w:w="14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15.7%</w:t>
            </w:r>
          </w:p>
        </w:tc>
        <w:tc>
          <w:tcPr>
            <w:tcW w:type="dxa" w:w="1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13.3%</w:t>
            </w:r>
          </w:p>
        </w:tc>
        <w:tc>
          <w:tcPr>
            <w:tcW w:type="dxa" w:w="14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15.5%</w:t>
            </w:r>
          </w:p>
        </w:tc>
        <w:tc>
          <w:tcPr>
            <w:tcW w:type="dxa" w:w="23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bCs/>
                <w:color w:val="0C1F3F"/>
                <w:sz w:val="18"/>
                <w:szCs w:val="18"/>
              </w:rPr>
              <w:t xml:space="preserve">15.6%</w:t>
            </w:r>
          </w:p>
        </w:tc>
      </w:tr>
      <w:tr>
        <w:tc>
          <w:tcPr>
            <w:tcW w:type="dxa" w:w="24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Application incomplete</w:t>
            </w:r>
          </w:p>
        </w:tc>
        <w:tc>
          <w:tcPr>
            <w:tcW w:type="dxa" w:w="14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7.3%</w:t>
            </w:r>
          </w:p>
        </w:tc>
        <w:tc>
          <w:tcPr>
            <w:tcW w:type="dxa" w:w="18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12.1%</w:t>
            </w:r>
          </w:p>
        </w:tc>
        <w:tc>
          <w:tcPr>
            <w:tcW w:type="dxa" w:w="14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3.9%</w:t>
            </w:r>
          </w:p>
        </w:tc>
        <w:tc>
          <w:tcPr>
            <w:tcW w:type="dxa" w:w="23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bCs/>
                <w:color w:val="0C1F3F"/>
                <w:sz w:val="18"/>
                <w:szCs w:val="18"/>
              </w:rPr>
              <w:t xml:space="preserve">8.7%</w:t>
            </w:r>
          </w:p>
        </w:tc>
      </w:tr>
      <w:tr>
        <w:tc>
          <w:tcPr>
            <w:tcW w:type="dxa" w:w="24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Other</w:t>
            </w:r>
          </w:p>
        </w:tc>
        <w:tc>
          <w:tcPr>
            <w:tcW w:type="dxa" w:w="14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8.4%</w:t>
            </w:r>
          </w:p>
        </w:tc>
        <w:tc>
          <w:tcPr>
            <w:tcW w:type="dxa" w:w="1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8.6%</w:t>
            </w:r>
          </w:p>
        </w:tc>
        <w:tc>
          <w:tcPr>
            <w:tcW w:type="dxa" w:w="14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8.0%</w:t>
            </w:r>
          </w:p>
        </w:tc>
        <w:tc>
          <w:tcPr>
            <w:tcW w:type="dxa" w:w="23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bCs/>
                <w:color w:val="0C1F3F"/>
                <w:sz w:val="18"/>
                <w:szCs w:val="18"/>
              </w:rPr>
              <w:t xml:space="preserve">7.2%</w:t>
            </w:r>
          </w:p>
        </w:tc>
      </w:tr>
    </w:tbl>
    <w:p>
      <w:pPr>
        <w:spacing w:after="200"/>
      </w:pPr>
    </w:p>
    <w:p>
      <w:pPr>
        <w:spacing w:after="200" w:before="0" w:line="276"/>
      </w:pPr>
      <w:r>
        <w:rPr>
          <w:rFonts w:ascii="Arial" w:cs="Arial" w:eastAsia="Arial" w:hAnsi="Arial"/>
          <w:b/>
          <w:bCs/>
          <w:color w:val="0C1F3F"/>
          <w:sz w:val="22"/>
          <w:szCs w:val="22"/>
        </w:rPr>
        <w:t xml:space="preserve">Notable patterns: </w:t>
      </w:r>
      <w:r>
        <w:rPr>
          <w:rFonts w:ascii="Arial" w:cs="Arial" w:eastAsia="Arial" w:hAnsi="Arial"/>
          <w:sz w:val="22"/>
          <w:szCs w:val="22"/>
        </w:rPr>
        <w:t xml:space="preserve">Black or African American applicants are denied for credit history at a higher rate (26.3%) than White applicants (21.7%) and for incomplete applications at a significantly higher rate (12.1% vs 7.3%). The elevated incomplete-application rate may warrant investigation into whether lender engagement and application support varies across demographic groups.</w:t>
      </w:r>
    </w:p>
    <w:p>
      <w:pPr>
        <w:pStyle w:val="Heading2"/>
        <w:spacing w:before="240" w:after="200"/>
      </w:pPr>
      <w:r>
        <w:t xml:space="preserve">8.2 Income Context</w:t>
      </w:r>
    </w:p>
    <w:p>
      <w:pPr>
        <w:spacing w:after="200" w:before="0" w:line="276"/>
      </w:pPr>
      <w:r>
        <w:t xml:space="preserve">Median applicant income (reported in thousands) varies across racial groups, but the income gap between approved and denied applicants within each group provides additional context.</w:t>
      </w:r>
    </w:p>
    <w:tbl>
      <w:tblPr>
        <w:tblW w:type="dxa" w:w="8360"/>
        <w:tblBorders>
          <w:top w:val="single" w:color="auto" w:sz="4"/>
          <w:left w:val="single" w:color="auto" w:sz="4"/>
          <w:bottom w:val="single" w:color="auto" w:sz="4"/>
          <w:right w:val="single" w:color="auto" w:sz="4"/>
          <w:insideH w:val="single" w:color="auto" w:sz="4"/>
          <w:insideV w:val="single" w:color="auto" w:sz="4"/>
        </w:tblBorders>
      </w:tblPr>
      <w:tblGrid>
        <w:gridCol w:w="3000"/>
        <w:gridCol w:w="1800"/>
        <w:gridCol w:w="1800"/>
        <w:gridCol w:w="1760"/>
      </w:tblGrid>
      <w:tr>
        <w:tc>
          <w:tcPr>
            <w:tcW w:type="dxa" w:w="30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Race</w:t>
            </w:r>
          </w:p>
        </w:tc>
        <w:tc>
          <w:tcPr>
            <w:tcW w:type="dxa" w:w="18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Median Income (Approved)</w:t>
            </w:r>
          </w:p>
        </w:tc>
        <w:tc>
          <w:tcPr>
            <w:tcW w:type="dxa" w:w="18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Median Income (Denied)</w:t>
            </w:r>
          </w:p>
        </w:tc>
        <w:tc>
          <w:tcPr>
            <w:tcW w:type="dxa" w:w="176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Gap</w:t>
            </w:r>
          </w:p>
        </w:tc>
      </w:tr>
      <w:tr>
        <w:tc>
          <w:tcPr>
            <w:tcW w:type="dxa" w:w="30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White</w:t>
            </w:r>
          </w:p>
        </w:tc>
        <w:tc>
          <w:tcPr>
            <w:tcW w:type="dxa" w:w="1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$151,000</w:t>
            </w:r>
          </w:p>
        </w:tc>
        <w:tc>
          <w:tcPr>
            <w:tcW w:type="dxa" w:w="1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$109,000</w:t>
            </w:r>
          </w:p>
        </w:tc>
        <w:tc>
          <w:tcPr>
            <w:tcW w:type="dxa" w:w="17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bCs/>
                <w:color w:val="0C1F3F"/>
                <w:sz w:val="18"/>
                <w:szCs w:val="18"/>
              </w:rPr>
              <w:t xml:space="preserve">$42,000</w:t>
            </w:r>
          </w:p>
        </w:tc>
      </w:tr>
      <w:tr>
        <w:tc>
          <w:tcPr>
            <w:tcW w:type="dxa" w:w="30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Asian</w:t>
            </w:r>
          </w:p>
        </w:tc>
        <w:tc>
          <w:tcPr>
            <w:tcW w:type="dxa" w:w="18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$186,000</w:t>
            </w:r>
          </w:p>
        </w:tc>
        <w:tc>
          <w:tcPr>
            <w:tcW w:type="dxa" w:w="18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$130,000</w:t>
            </w:r>
          </w:p>
        </w:tc>
        <w:tc>
          <w:tcPr>
            <w:tcW w:type="dxa" w:w="17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bCs/>
                <w:color w:val="0C1F3F"/>
                <w:sz w:val="18"/>
                <w:szCs w:val="18"/>
              </w:rPr>
              <w:t xml:space="preserve">$56,000</w:t>
            </w:r>
          </w:p>
        </w:tc>
      </w:tr>
      <w:tr>
        <w:tc>
          <w:tcPr>
            <w:tcW w:type="dxa" w:w="30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Black or African American</w:t>
            </w:r>
          </w:p>
        </w:tc>
        <w:tc>
          <w:tcPr>
            <w:tcW w:type="dxa" w:w="1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$126,000</w:t>
            </w:r>
          </w:p>
        </w:tc>
        <w:tc>
          <w:tcPr>
            <w:tcW w:type="dxa" w:w="1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$105,000</w:t>
            </w:r>
          </w:p>
        </w:tc>
        <w:tc>
          <w:tcPr>
            <w:tcW w:type="dxa" w:w="17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bCs/>
                <w:color w:val="0C1F3F"/>
                <w:sz w:val="18"/>
                <w:szCs w:val="18"/>
              </w:rPr>
              <w:t xml:space="preserve">$22,000</w:t>
            </w:r>
          </w:p>
        </w:tc>
      </w:tr>
      <w:tr>
        <w:tc>
          <w:tcPr>
            <w:tcW w:type="dxa" w:w="30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American Indian / AK Native</w:t>
            </w:r>
          </w:p>
        </w:tc>
        <w:tc>
          <w:tcPr>
            <w:tcW w:type="dxa" w:w="18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$119,000</w:t>
            </w:r>
          </w:p>
        </w:tc>
        <w:tc>
          <w:tcPr>
            <w:tcW w:type="dxa" w:w="18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$99,000</w:t>
            </w:r>
          </w:p>
        </w:tc>
        <w:tc>
          <w:tcPr>
            <w:tcW w:type="dxa" w:w="17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bCs/>
                <w:color w:val="0C1F3F"/>
                <w:sz w:val="18"/>
                <w:szCs w:val="18"/>
              </w:rPr>
              <w:t xml:space="preserve">$20,000</w:t>
            </w:r>
          </w:p>
        </w:tc>
      </w:tr>
      <w:tr>
        <w:tc>
          <w:tcPr>
            <w:tcW w:type="dxa" w:w="30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Nat. Hawaiian / Pac. Islander</w:t>
            </w:r>
          </w:p>
        </w:tc>
        <w:tc>
          <w:tcPr>
            <w:tcW w:type="dxa" w:w="1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$133,000</w:t>
            </w:r>
          </w:p>
        </w:tc>
        <w:tc>
          <w:tcPr>
            <w:tcW w:type="dxa" w:w="1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$100,000</w:t>
            </w:r>
          </w:p>
        </w:tc>
        <w:tc>
          <w:tcPr>
            <w:tcW w:type="dxa" w:w="17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bCs/>
                <w:color w:val="0C1F3F"/>
                <w:sz w:val="18"/>
                <w:szCs w:val="18"/>
              </w:rPr>
              <w:t xml:space="preserve">$33,000</w:t>
            </w:r>
          </w:p>
        </w:tc>
      </w:tr>
    </w:tbl>
    <w:p>
      <w:pPr>
        <w:spacing w:after="200"/>
      </w:pPr>
    </w:p>
    <w:p>
      <w:pPr>
        <w:spacing w:after="200" w:before="0" w:line="276"/>
      </w:pPr>
      <w:r>
        <w:rPr>
          <w:rFonts w:ascii="Arial" w:cs="Arial" w:eastAsia="Arial" w:hAnsi="Arial"/>
          <w:b/>
          <w:bCs/>
          <w:color w:val="0C1F3F"/>
          <w:sz w:val="22"/>
          <w:szCs w:val="22"/>
        </w:rPr>
        <w:t xml:space="preserve">Interpretation: </w:t>
      </w:r>
      <w:r>
        <w:rPr>
          <w:rFonts w:ascii="Arial" w:cs="Arial" w:eastAsia="Arial" w:hAnsi="Arial"/>
          <w:sz w:val="22"/>
          <w:szCs w:val="22"/>
        </w:rPr>
        <w:t xml:space="preserve">Black or African American denied applicants ($105,000 median income) are not dramatically different in income from White denied applicants ($109,000). Yet the overall approval rate gap is 14.3 percentage points. Income is included here for context only and is a weak proxy for creditworthiness; the primary underwriting drivers (credit score, full debt-to-income calculation, employment verification) are not available in the public HMDA release. Caution should be exercised in drawing causal inferences from income comparisons alone.</w:t>
      </w:r>
    </w:p>
    <w:p>
      <w:pPr>
        <w:pStyle w:val="Heading2"/>
        <w:spacing w:before="240" w:after="200"/>
      </w:pPr>
      <w:r>
        <w:t xml:space="preserve">8.3 Loan-to-Value Ratios</w:t>
      </w:r>
    </w:p>
    <w:p>
      <w:pPr>
        <w:spacing w:after="200" w:before="0" w:line="276"/>
      </w:pPr>
      <w:r>
        <w:t xml:space="preserve">Among approved loans, Black or African American borrowers carry the highest median loan-to-value ratio (80.0%), compared to 70.0% for White borrowers and 72.4% for Asian borrowers. Higher LTV ratios indicate less equity or down payment relative to property value, which can reflect wealth gaps that compound lending disparities.</w:t>
      </w:r>
    </w:p>
    <w:p>
      <w:r>
        <w:br w:type="page"/>
      </w:r>
    </w:p>
    <w:p>
      <w:pPr>
        <w:pStyle w:val="Heading1"/>
        <w:spacing w:before="360" w:after="200"/>
      </w:pPr>
      <w:r>
        <w:t xml:space="preserve">9. Risk Assessment and Recommendations</w:t>
      </w:r>
    </w:p>
    <w:p>
      <w:pPr>
        <w:pStyle w:val="Heading2"/>
        <w:spacing w:before="240" w:after="200"/>
      </w:pPr>
      <w:r>
        <w:t xml:space="preserve">9.1 Risk-Ranked Findings</w:t>
      </w:r>
    </w:p>
    <w:tbl>
      <w:tblPr>
        <w:tblW w:type="dxa" w:w="8360"/>
        <w:tblBorders>
          <w:top w:val="single" w:color="auto" w:sz="4"/>
          <w:left w:val="single" w:color="auto" w:sz="4"/>
          <w:bottom w:val="single" w:color="auto" w:sz="4"/>
          <w:right w:val="single" w:color="auto" w:sz="4"/>
          <w:insideH w:val="single" w:color="auto" w:sz="4"/>
          <w:insideV w:val="single" w:color="auto" w:sz="4"/>
        </w:tblBorders>
      </w:tblPr>
      <w:tblGrid>
        <w:gridCol w:w="3600"/>
        <w:gridCol w:w="1100"/>
        <w:gridCol w:w="1800"/>
        <w:gridCol w:w="1860"/>
      </w:tblGrid>
      <w:tr>
        <w:tc>
          <w:tcPr>
            <w:tcW w:type="dxa" w:w="36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Finding</w:t>
            </w:r>
          </w:p>
        </w:tc>
        <w:tc>
          <w:tcPr>
            <w:tcW w:type="dxa" w:w="11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Severity</w:t>
            </w:r>
          </w:p>
        </w:tc>
        <w:tc>
          <w:tcPr>
            <w:tcW w:type="dxa" w:w="18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Population Affected</w:t>
            </w:r>
          </w:p>
        </w:tc>
        <w:tc>
          <w:tcPr>
            <w:tcW w:type="dxa" w:w="186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Impact Ratio</w:t>
            </w:r>
          </w:p>
        </w:tc>
      </w:tr>
      <w:tr>
        <w:tc>
          <w:tcPr>
            <w:tcW w:type="dxa" w:w="36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Native Hawaiian/Pac. Isl. approval disparity</w:t>
            </w:r>
          </w:p>
        </w:tc>
        <w:tc>
          <w:tcPr>
            <w:tcW w:type="dxa" w:w="11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HIGH</w:t>
            </w:r>
          </w:p>
        </w:tc>
        <w:tc>
          <w:tcPr>
            <w:tcW w:type="dxa" w:w="1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252 applicants</w:t>
            </w:r>
          </w:p>
        </w:tc>
        <w:tc>
          <w:tcPr>
            <w:tcW w:type="dxa" w:w="18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bCs/>
                <w:color w:val="0C1F3F"/>
                <w:sz w:val="18"/>
                <w:szCs w:val="18"/>
              </w:rPr>
              <w:t xml:space="preserve">0.590</w:t>
            </w:r>
          </w:p>
        </w:tc>
      </w:tr>
      <w:tr>
        <w:tc>
          <w:tcPr>
            <w:tcW w:type="dxa" w:w="36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American Indian/AK Native approval disparity</w:t>
            </w:r>
          </w:p>
        </w:tc>
        <w:tc>
          <w:tcPr>
            <w:tcW w:type="dxa" w:w="11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HIGH</w:t>
            </w:r>
          </w:p>
        </w:tc>
        <w:tc>
          <w:tcPr>
            <w:tcW w:type="dxa" w:w="18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530 applicants</w:t>
            </w:r>
          </w:p>
        </w:tc>
        <w:tc>
          <w:tcPr>
            <w:tcW w:type="dxa" w:w="18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bCs/>
                <w:color w:val="0C1F3F"/>
                <w:sz w:val="18"/>
                <w:szCs w:val="18"/>
              </w:rPr>
              <w:t xml:space="preserve">0.660</w:t>
            </w:r>
          </w:p>
        </w:tc>
      </w:tr>
      <w:tr>
        <w:tc>
          <w:tcPr>
            <w:tcW w:type="dxa" w:w="36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Black/African American approval disparity</w:t>
            </w:r>
          </w:p>
        </w:tc>
        <w:tc>
          <w:tcPr>
            <w:tcW w:type="dxa" w:w="11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HIGH</w:t>
            </w:r>
          </w:p>
        </w:tc>
        <w:tc>
          <w:tcPr>
            <w:tcW w:type="dxa" w:w="1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2,307 applicants</w:t>
            </w:r>
          </w:p>
        </w:tc>
        <w:tc>
          <w:tcPr>
            <w:tcW w:type="dxa" w:w="18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bCs/>
                <w:color w:val="0C1F3F"/>
                <w:sz w:val="18"/>
                <w:szCs w:val="18"/>
              </w:rPr>
              <w:t xml:space="preserve">0.719</w:t>
            </w:r>
          </w:p>
        </w:tc>
      </w:tr>
      <w:tr>
        <w:tc>
          <w:tcPr>
            <w:tcW w:type="dxa" w:w="36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Hispanic/Latino approval disparity</w:t>
            </w:r>
          </w:p>
        </w:tc>
        <w:tc>
          <w:tcPr>
            <w:tcW w:type="dxa" w:w="11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MEDIUM</w:t>
            </w:r>
          </w:p>
        </w:tc>
        <w:tc>
          <w:tcPr>
            <w:tcW w:type="dxa" w:w="18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11,272 applicants</w:t>
            </w:r>
          </w:p>
        </w:tc>
        <w:tc>
          <w:tcPr>
            <w:tcW w:type="dxa" w:w="18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bCs/>
                <w:color w:val="0C1F3F"/>
                <w:sz w:val="18"/>
                <w:szCs w:val="18"/>
              </w:rPr>
              <w:t xml:space="preserve">0.791</w:t>
            </w:r>
          </w:p>
        </w:tc>
      </w:tr>
      <w:tr>
        <w:tc>
          <w:tcPr>
            <w:tcW w:type="dxa" w:w="36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Black/Afr. Am. male intersectional disparity</w:t>
            </w:r>
          </w:p>
        </w:tc>
        <w:tc>
          <w:tcPr>
            <w:tcW w:type="dxa" w:w="11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MEDIUM</w:t>
            </w:r>
          </w:p>
        </w:tc>
        <w:tc>
          <w:tcPr>
            <w:tcW w:type="dxa" w:w="1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919 applicants</w:t>
            </w:r>
          </w:p>
        </w:tc>
        <w:tc>
          <w:tcPr>
            <w:tcW w:type="dxa" w:w="18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bCs/>
                <w:color w:val="0C1F3F"/>
                <w:sz w:val="18"/>
                <w:szCs w:val="18"/>
              </w:rPr>
              <w:t xml:space="preserve">0.782</w:t>
            </w:r>
          </w:p>
        </w:tc>
      </w:tr>
      <w:tr>
        <w:tc>
          <w:tcPr>
            <w:tcW w:type="dxa" w:w="36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Elevated incomplete-application denials (Black)</w:t>
            </w:r>
          </w:p>
        </w:tc>
        <w:tc>
          <w:tcPr>
            <w:tcW w:type="dxa" w:w="11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MEDIUM</w:t>
            </w:r>
          </w:p>
        </w:tc>
        <w:tc>
          <w:tcPr>
            <w:tcW w:type="dxa" w:w="18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133 denials</w:t>
            </w:r>
          </w:p>
        </w:tc>
        <w:tc>
          <w:tcPr>
            <w:tcW w:type="dxa" w:w="18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bCs/>
                <w:color w:val="0C1F3F"/>
                <w:sz w:val="18"/>
                <w:szCs w:val="18"/>
              </w:rPr>
              <w:t xml:space="preserve">N/A</w:t>
            </w:r>
          </w:p>
        </w:tc>
      </w:tr>
      <w:tr>
        <w:tc>
          <w:tcPr>
            <w:tcW w:type="dxa" w:w="36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Male applicant approval rate near threshold</w:t>
            </w:r>
          </w:p>
        </w:tc>
        <w:tc>
          <w:tcPr>
            <w:tcW w:type="dxa" w:w="11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LOW</w:t>
            </w:r>
          </w:p>
        </w:tc>
        <w:tc>
          <w:tcPr>
            <w:tcW w:type="dxa" w:w="1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17,064 applicants</w:t>
            </w:r>
          </w:p>
        </w:tc>
        <w:tc>
          <w:tcPr>
            <w:tcW w:type="dxa" w:w="18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bCs/>
                <w:color w:val="0C1F3F"/>
                <w:sz w:val="18"/>
                <w:szCs w:val="18"/>
              </w:rPr>
              <w:t xml:space="preserve">0.802</w:t>
            </w:r>
          </w:p>
        </w:tc>
      </w:tr>
    </w:tbl>
    <w:p>
      <w:pPr>
        <w:spacing w:after="200"/>
      </w:pPr>
    </w:p>
    <w:p>
      <w:pPr>
        <w:pStyle w:val="Heading2"/>
        <w:spacing w:before="240" w:after="200"/>
      </w:pPr>
      <w:r>
        <w:t xml:space="preserve">9.2 Recommendations</w:t>
      </w:r>
    </w:p>
    <w:p>
      <w:pPr>
        <w:pStyle w:val="ListParagraph"/>
        <w:numPr>
          <w:ilvl w:val="0"/>
          <w:numId w:val="2"/>
        </w:numPr>
        <w:spacing w:after="160"/>
      </w:pPr>
      <w:r>
        <w:rPr>
          <w:rFonts w:ascii="Arial" w:cs="Arial" w:eastAsia="Arial" w:hAnsi="Arial"/>
          <w:b/>
          <w:bCs/>
          <w:sz w:val="22"/>
          <w:szCs w:val="22"/>
        </w:rPr>
        <w:t xml:space="preserve">Conduct root-cause analysis: </w:t>
      </w:r>
      <w:r>
        <w:rPr>
          <w:rFonts w:ascii="Arial" w:cs="Arial" w:eastAsia="Arial" w:hAnsi="Arial"/>
          <w:sz w:val="22"/>
          <w:szCs w:val="22"/>
        </w:rPr>
        <w:t xml:space="preserve">Investigate whether underwriting criteria disproportionately affect identified groups. Examine the role of credit scoring models, debt-to-income thresholds, and property appraisal practices in producing observed disparities.</w:t>
      </w:r>
    </w:p>
    <w:p>
      <w:pPr>
        <w:pStyle w:val="ListParagraph"/>
        <w:numPr>
          <w:ilvl w:val="0"/>
          <w:numId w:val="2"/>
        </w:numPr>
        <w:spacing w:after="160"/>
      </w:pPr>
      <w:r>
        <w:rPr>
          <w:rFonts w:ascii="Arial" w:cs="Arial" w:eastAsia="Arial" w:hAnsi="Arial"/>
          <w:b/>
          <w:bCs/>
          <w:sz w:val="22"/>
          <w:szCs w:val="22"/>
        </w:rPr>
        <w:t xml:space="preserve">Review application support processes: </w:t>
      </w:r>
      <w:r>
        <w:rPr>
          <w:rFonts w:ascii="Arial" w:cs="Arial" w:eastAsia="Arial" w:hAnsi="Arial"/>
          <w:sz w:val="22"/>
          <w:szCs w:val="22"/>
        </w:rPr>
        <w:t xml:space="preserve">The elevated rate of incomplete-application denials for Black or African American applicants (12.1% vs 7.3% for White applicants) may indicate differences in lender engagement. Evaluate whether pre-application counseling, documentation guidance, and follow-up processes are equitably distributed.</w:t>
      </w:r>
    </w:p>
    <w:p>
      <w:pPr>
        <w:pStyle w:val="ListParagraph"/>
        <w:numPr>
          <w:ilvl w:val="0"/>
          <w:numId w:val="2"/>
        </w:numPr>
        <w:spacing w:after="160"/>
      </w:pPr>
      <w:r>
        <w:rPr>
          <w:rFonts w:ascii="Arial" w:cs="Arial" w:eastAsia="Arial" w:hAnsi="Arial"/>
          <w:b/>
          <w:bCs/>
          <w:sz w:val="22"/>
          <w:szCs w:val="22"/>
        </w:rPr>
        <w:t xml:space="preserve">Implement intersectional monitoring: </w:t>
      </w:r>
      <w:r>
        <w:rPr>
          <w:rFonts w:ascii="Arial" w:cs="Arial" w:eastAsia="Arial" w:hAnsi="Arial"/>
          <w:sz w:val="22"/>
          <w:szCs w:val="22"/>
        </w:rPr>
        <w:t xml:space="preserve">Single-attribute monitoring missed the Black male disparity. Ongoing monitoring should include intersectional breakdowns (race × sex, ethnicity × sex) as standard practice.</w:t>
      </w:r>
    </w:p>
    <w:p>
      <w:pPr>
        <w:pStyle w:val="ListParagraph"/>
        <w:numPr>
          <w:ilvl w:val="0"/>
          <w:numId w:val="2"/>
        </w:numPr>
        <w:spacing w:after="160"/>
      </w:pPr>
      <w:r>
        <w:rPr>
          <w:rFonts w:ascii="Arial" w:cs="Arial" w:eastAsia="Arial" w:hAnsi="Arial"/>
          <w:b/>
          <w:bCs/>
          <w:sz w:val="22"/>
          <w:szCs w:val="22"/>
        </w:rPr>
        <w:t xml:space="preserve">Establish regular audit cadence (optional next step): </w:t>
      </w:r>
      <w:r>
        <w:rPr>
          <w:rFonts w:ascii="Arial" w:cs="Arial" w:eastAsia="Arial" w:hAnsi="Arial"/>
          <w:sz w:val="22"/>
          <w:szCs w:val="22"/>
        </w:rPr>
        <w:t xml:space="preserve">Male applicants (IR = 0.802) are currently above the threshold but close enough to warrant trend monitoring. Quarterly fair lending analysis using the most recent data would detect emerging disparities before they breach the threshold.</w:t>
      </w:r>
    </w:p>
    <w:p>
      <w:pPr>
        <w:pStyle w:val="ListParagraph"/>
        <w:numPr>
          <w:ilvl w:val="0"/>
          <w:numId w:val="2"/>
        </w:numPr>
        <w:spacing w:after="160"/>
      </w:pPr>
      <w:r>
        <w:rPr>
          <w:rFonts w:ascii="Arial" w:cs="Arial" w:eastAsia="Arial" w:hAnsi="Arial"/>
          <w:b/>
          <w:bCs/>
          <w:sz w:val="22"/>
          <w:szCs w:val="22"/>
        </w:rPr>
        <w:t xml:space="preserve">Evaluate alternative underwriting models (optional next step): </w:t>
      </w:r>
      <w:r>
        <w:rPr>
          <w:rFonts w:ascii="Arial" w:cs="Arial" w:eastAsia="Arial" w:hAnsi="Arial"/>
          <w:sz w:val="22"/>
          <w:szCs w:val="22"/>
        </w:rPr>
        <w:t xml:space="preserve">Given that income differences do not fully explain the observed racial disparities (Section 8.2), consider whether alternative credit assessment approaches (e.g., cash-flow underwriting, trended credit data) could reduce disparities while maintaining risk management standards.</w:t>
      </w:r>
    </w:p>
    <w:p>
      <w:r>
        <w:br w:type="page"/>
      </w:r>
    </w:p>
    <w:p>
      <w:pPr>
        <w:pStyle w:val="Heading1"/>
        <w:spacing w:before="360" w:after="200"/>
      </w:pPr>
      <w:r>
        <w:t xml:space="preserve">10. Scope, Independence, and Disclaimers</w:t>
      </w:r>
    </w:p>
    <w:p>
      <w:pPr>
        <w:pStyle w:val="Heading2"/>
        <w:spacing w:before="240" w:after="200"/>
      </w:pPr>
      <w:r>
        <w:t xml:space="preserve">10.1 Scope</w:t>
      </w:r>
    </w:p>
    <w:p>
      <w:pPr>
        <w:spacing w:after="200" w:before="0" w:line="276"/>
      </w:pPr>
      <w:r>
        <w:t xml:space="preserve">This report presents a statistical analysis of mortgage lending outcomes using publicly available HMDA data. The analysis measures disparate impact using the four-fifths rule and does not establish causation or discriminatory intent. Observed disparities may be partially or fully explained by legitimate underwriting factors not available in the public dataset, including credit scores, employment verification details, and complete financial profiles. Public HMDA data are widely used as a screening tool for identifying potential fair lending risks, but regulators, researchers, and the CFPB have consistently noted that HMDA data alone are insufficient to determine whether discrimination has occurred.</w:t>
      </w:r>
    </w:p>
    <w:p>
      <w:pPr>
        <w:pStyle w:val="Heading2"/>
        <w:spacing w:before="240" w:after="200"/>
      </w:pPr>
      <w:r>
        <w:t xml:space="preserve">10.2 Independence</w:t>
      </w:r>
    </w:p>
    <w:p>
      <w:pPr>
        <w:spacing w:after="200" w:before="0" w:line="276"/>
      </w:pPr>
      <w:r>
        <w:t xml:space="preserve">Minerva AI Assurance does not build, implement, or advise on the development of lending systems. We have no commercial relationship with any financial institution referenced in the underlying data. Our findings are reported as measured.</w:t>
      </w:r>
    </w:p>
    <w:p>
      <w:pPr>
        <w:pStyle w:val="Heading2"/>
        <w:spacing w:before="240" w:after="200"/>
      </w:pPr>
      <w:r>
        <w:t xml:space="preserve">10.3 Regulatory Context</w:t>
      </w:r>
    </w:p>
    <w:p>
      <w:pPr>
        <w:spacing w:after="200" w:before="0" w:line="276"/>
      </w:pPr>
      <w:r>
        <w:t xml:space="preserve">This analysis is informed by the EEOC Uniform Guidelines on Employee Selection Procedures (four-fifths rule), the Equal Credit Opportunity Act (ECOA), the Fair Housing Act, and the CFPB’s fair lending examination procedures. The four-fifths rule provides a threshold for identifying potential adverse impact but is not dispositive — additional analysis may be required to determine whether observed disparities constitute unlawful discrimination.</w:t>
      </w:r>
    </w:p>
    <w:p>
      <w:pPr>
        <w:pStyle w:val="Heading2"/>
        <w:spacing w:before="240" w:after="200"/>
      </w:pPr>
      <w:r>
        <w:t xml:space="preserve">10.4 Disclaimer</w:t>
      </w:r>
    </w:p>
    <w:p>
      <w:pPr>
        <w:spacing w:after="200" w:before="0" w:line="276"/>
      </w:pPr>
      <w:r>
        <w:t xml:space="preserve">This report is provided for informational and analytical purposes only. Minerva AI Assurance provides technical assessment services. This report does not constitute legal advice and does not guarantee compliance with any specific law, regulation, or standard. Recipients are responsible for their own compliance decisions and should consult legal counsel as appropriate.</w:t>
      </w:r>
    </w:p>
    <w:p>
      <w:r>
        <w:br w:type="page"/>
      </w:r>
    </w:p>
    <w:p>
      <w:pPr>
        <w:pStyle w:val="Heading1"/>
        <w:spacing w:before="360" w:after="200"/>
      </w:pPr>
      <w:r>
        <w:t xml:space="preserve">Appendix A: Alternate Reference Group Analysis</w:t>
      </w:r>
    </w:p>
    <w:p>
      <w:pPr>
        <w:spacing w:after="200" w:before="0" w:line="276"/>
      </w:pPr>
      <w:r>
        <w:t xml:space="preserve">The main body of this report uses the highest-rate group (Joint) as the reference, consistent with EEOC methodology. This appendix presents Impact Ratios using the majority demographic group as reference, which is the convention preferred by many fair lending practitioners.</w:t>
      </w:r>
    </w:p>
    <w:p>
      <w:pPr>
        <w:pStyle w:val="Heading2"/>
        <w:spacing w:before="240" w:after="200"/>
      </w:pPr>
      <w:r>
        <w:t xml:space="preserve">A.1 Race — White as Reference</w:t>
      </w:r>
    </w:p>
    <w:tbl>
      <w:tblPr>
        <w:tblW w:type="dxa" w:w="7360"/>
        <w:tblBorders>
          <w:top w:val="single" w:color="auto" w:sz="4"/>
          <w:left w:val="single" w:color="auto" w:sz="4"/>
          <w:bottom w:val="single" w:color="auto" w:sz="4"/>
          <w:right w:val="single" w:color="auto" w:sz="4"/>
          <w:insideH w:val="single" w:color="auto" w:sz="4"/>
          <w:insideV w:val="single" w:color="auto" w:sz="4"/>
        </w:tblBorders>
      </w:tblPr>
      <w:tblGrid>
        <w:gridCol w:w="2400"/>
        <w:gridCol w:w="1100"/>
        <w:gridCol w:w="1000"/>
        <w:gridCol w:w="1100"/>
        <w:gridCol w:w="1100"/>
        <w:gridCol w:w="660"/>
      </w:tblGrid>
      <w:tr>
        <w:tc>
          <w:tcPr>
            <w:tcW w:type="dxa" w:w="24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Race / Ethnicity</w:t>
            </w:r>
          </w:p>
        </w:tc>
        <w:tc>
          <w:tcPr>
            <w:tcW w:type="dxa" w:w="11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Applications</w:t>
            </w:r>
          </w:p>
        </w:tc>
        <w:tc>
          <w:tcPr>
            <w:tcW w:type="dxa" w:w="10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Approved</w:t>
            </w:r>
          </w:p>
        </w:tc>
        <w:tc>
          <w:tcPr>
            <w:tcW w:type="dxa" w:w="11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Approval Rate</w:t>
            </w:r>
          </w:p>
        </w:tc>
        <w:tc>
          <w:tcPr>
            <w:tcW w:type="dxa" w:w="11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IR vs White</w:t>
            </w:r>
          </w:p>
        </w:tc>
        <w:tc>
          <w:tcPr>
            <w:tcW w:type="dxa" w:w="66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Result</w:t>
            </w:r>
          </w:p>
        </w:tc>
      </w:tr>
      <w:tr>
        <w:tc>
          <w:tcPr>
            <w:tcW w:type="dxa" w:w="24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White (REF)</w:t>
            </w:r>
          </w:p>
        </w:tc>
        <w:tc>
          <w:tcPr>
            <w:tcW w:type="dxa" w:w="11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25,720</w:t>
            </w:r>
          </w:p>
        </w:tc>
        <w:tc>
          <w:tcPr>
            <w:tcW w:type="dxa" w:w="10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17,104</w:t>
            </w:r>
          </w:p>
        </w:tc>
        <w:tc>
          <w:tcPr>
            <w:tcW w:type="dxa" w:w="11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66.5%</w:t>
            </w:r>
          </w:p>
        </w:tc>
        <w:tc>
          <w:tcPr>
            <w:tcW w:type="dxa" w:w="11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1.000</w:t>
            </w:r>
          </w:p>
        </w:tc>
        <w:tc>
          <w:tcPr>
            <w:tcW w:type="dxa" w:w="6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bCs/>
                <w:color w:val="0C1F3F"/>
                <w:sz w:val="18"/>
                <w:szCs w:val="18"/>
              </w:rPr>
              <w:t xml:space="preserve">REF</w:t>
            </w:r>
          </w:p>
        </w:tc>
      </w:tr>
      <w:tr>
        <w:tc>
          <w:tcPr>
            <w:tcW w:type="dxa" w:w="24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Joint</w:t>
            </w:r>
          </w:p>
        </w:tc>
        <w:tc>
          <w:tcPr>
            <w:tcW w:type="dxa" w:w="11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1,784</w:t>
            </w:r>
          </w:p>
        </w:tc>
        <w:tc>
          <w:tcPr>
            <w:tcW w:type="dxa" w:w="10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1,295</w:t>
            </w:r>
          </w:p>
        </w:tc>
        <w:tc>
          <w:tcPr>
            <w:tcW w:type="dxa" w:w="11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72.6%</w:t>
            </w:r>
          </w:p>
        </w:tc>
        <w:tc>
          <w:tcPr>
            <w:tcW w:type="dxa" w:w="11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1.092</w:t>
            </w:r>
          </w:p>
        </w:tc>
        <w:tc>
          <w:tcPr>
            <w:tcW w:type="dxa" w:w="6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bCs/>
                <w:color w:val="2E7D4F"/>
                <w:sz w:val="18"/>
                <w:szCs w:val="18"/>
              </w:rPr>
              <w:t xml:space="preserve">PASS</w:t>
            </w:r>
          </w:p>
        </w:tc>
      </w:tr>
      <w:tr>
        <w:tc>
          <w:tcPr>
            <w:tcW w:type="dxa" w:w="24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Asian</w:t>
            </w:r>
          </w:p>
        </w:tc>
        <w:tc>
          <w:tcPr>
            <w:tcW w:type="dxa" w:w="11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7,288</w:t>
            </w:r>
          </w:p>
        </w:tc>
        <w:tc>
          <w:tcPr>
            <w:tcW w:type="dxa" w:w="10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4,455</w:t>
            </w:r>
          </w:p>
        </w:tc>
        <w:tc>
          <w:tcPr>
            <w:tcW w:type="dxa" w:w="11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61.1%</w:t>
            </w:r>
          </w:p>
        </w:tc>
        <w:tc>
          <w:tcPr>
            <w:tcW w:type="dxa" w:w="11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0.919</w:t>
            </w:r>
          </w:p>
        </w:tc>
        <w:tc>
          <w:tcPr>
            <w:tcW w:type="dxa" w:w="6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bCs/>
                <w:color w:val="2E7D4F"/>
                <w:sz w:val="18"/>
                <w:szCs w:val="18"/>
              </w:rPr>
              <w:t xml:space="preserve">PASS</w:t>
            </w:r>
          </w:p>
        </w:tc>
      </w:tr>
      <w:tr>
        <w:tc>
          <w:tcPr>
            <w:tcW w:type="dxa" w:w="24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Black or African American</w:t>
            </w:r>
          </w:p>
        </w:tc>
        <w:tc>
          <w:tcPr>
            <w:tcW w:type="dxa" w:w="11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2,307</w:t>
            </w:r>
          </w:p>
        </w:tc>
        <w:tc>
          <w:tcPr>
            <w:tcW w:type="dxa" w:w="10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1,204</w:t>
            </w:r>
          </w:p>
        </w:tc>
        <w:tc>
          <w:tcPr>
            <w:tcW w:type="dxa" w:w="11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52.2%</w:t>
            </w:r>
          </w:p>
        </w:tc>
        <w:tc>
          <w:tcPr>
            <w:tcW w:type="dxa" w:w="11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0.785</w:t>
            </w:r>
          </w:p>
        </w:tc>
        <w:tc>
          <w:tcPr>
            <w:tcW w:type="dxa" w:w="6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bCs/>
                <w:color w:val="B33A2E"/>
                <w:sz w:val="18"/>
                <w:szCs w:val="18"/>
              </w:rPr>
              <w:t xml:space="preserve">FAIL</w:t>
            </w:r>
          </w:p>
        </w:tc>
      </w:tr>
      <w:tr>
        <w:tc>
          <w:tcPr>
            <w:tcW w:type="dxa" w:w="24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2 or more minority races</w:t>
            </w:r>
          </w:p>
        </w:tc>
        <w:tc>
          <w:tcPr>
            <w:tcW w:type="dxa" w:w="11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203</w:t>
            </w:r>
          </w:p>
        </w:tc>
        <w:tc>
          <w:tcPr>
            <w:tcW w:type="dxa" w:w="10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102</w:t>
            </w:r>
          </w:p>
        </w:tc>
        <w:tc>
          <w:tcPr>
            <w:tcW w:type="dxa" w:w="11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50.2%</w:t>
            </w:r>
          </w:p>
        </w:tc>
        <w:tc>
          <w:tcPr>
            <w:tcW w:type="dxa" w:w="11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0.756</w:t>
            </w:r>
          </w:p>
        </w:tc>
        <w:tc>
          <w:tcPr>
            <w:tcW w:type="dxa" w:w="6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bCs/>
                <w:color w:val="B33A2E"/>
                <w:sz w:val="18"/>
                <w:szCs w:val="18"/>
              </w:rPr>
              <w:t xml:space="preserve">FAIL</w:t>
            </w:r>
          </w:p>
        </w:tc>
      </w:tr>
      <w:tr>
        <w:tc>
          <w:tcPr>
            <w:tcW w:type="dxa" w:w="24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American Indian / Alaska Native</w:t>
            </w:r>
          </w:p>
        </w:tc>
        <w:tc>
          <w:tcPr>
            <w:tcW w:type="dxa" w:w="11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530</w:t>
            </w:r>
          </w:p>
        </w:tc>
        <w:tc>
          <w:tcPr>
            <w:tcW w:type="dxa" w:w="10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254</w:t>
            </w:r>
          </w:p>
        </w:tc>
        <w:tc>
          <w:tcPr>
            <w:tcW w:type="dxa" w:w="11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47.9%</w:t>
            </w:r>
          </w:p>
        </w:tc>
        <w:tc>
          <w:tcPr>
            <w:tcW w:type="dxa" w:w="11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0.721</w:t>
            </w:r>
          </w:p>
        </w:tc>
        <w:tc>
          <w:tcPr>
            <w:tcW w:type="dxa" w:w="6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bCs/>
                <w:color w:val="B33A2E"/>
                <w:sz w:val="18"/>
                <w:szCs w:val="18"/>
              </w:rPr>
              <w:t xml:space="preserve">FAIL</w:t>
            </w:r>
          </w:p>
        </w:tc>
      </w:tr>
      <w:tr>
        <w:tc>
          <w:tcPr>
            <w:tcW w:type="dxa" w:w="24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Native Hawaiian / Pacific Islander</w:t>
            </w:r>
          </w:p>
        </w:tc>
        <w:tc>
          <w:tcPr>
            <w:tcW w:type="dxa" w:w="11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252</w:t>
            </w:r>
          </w:p>
        </w:tc>
        <w:tc>
          <w:tcPr>
            <w:tcW w:type="dxa" w:w="10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108</w:t>
            </w:r>
          </w:p>
        </w:tc>
        <w:tc>
          <w:tcPr>
            <w:tcW w:type="dxa" w:w="11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42.9%</w:t>
            </w:r>
          </w:p>
        </w:tc>
        <w:tc>
          <w:tcPr>
            <w:tcW w:type="dxa" w:w="11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0.644</w:t>
            </w:r>
          </w:p>
        </w:tc>
        <w:tc>
          <w:tcPr>
            <w:tcW w:type="dxa" w:w="6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bCs/>
                <w:color w:val="B33A2E"/>
                <w:sz w:val="18"/>
                <w:szCs w:val="18"/>
              </w:rPr>
              <w:t xml:space="preserve">FAIL</w:t>
            </w:r>
          </w:p>
        </w:tc>
      </w:tr>
    </w:tbl>
    <w:p>
      <w:pPr>
        <w:spacing w:after="200"/>
      </w:pPr>
    </w:p>
    <w:p>
      <w:pPr>
        <w:spacing w:after="200" w:before="0" w:line="276"/>
      </w:pPr>
      <w:r>
        <w:rPr>
          <w:rFonts w:ascii="Arial" w:cs="Arial" w:eastAsia="Arial" w:hAnsi="Arial"/>
          <w:b/>
          <w:bCs/>
          <w:color w:val="0C1F3F"/>
          <w:sz w:val="22"/>
          <w:szCs w:val="22"/>
        </w:rPr>
        <w:t xml:space="preserve">Note: </w:t>
      </w:r>
      <w:r>
        <w:rPr>
          <w:rFonts w:ascii="Arial" w:cs="Arial" w:eastAsia="Arial" w:hAnsi="Arial"/>
          <w:sz w:val="22"/>
          <w:szCs w:val="22"/>
        </w:rPr>
        <w:t xml:space="preserve">With White as reference, the same four groups fail. IRs are slightly lower because White (66.5%) is a lower benchmark than Joint (72.6%).</w:t>
      </w:r>
    </w:p>
    <w:p>
      <w:pPr>
        <w:pStyle w:val="Heading2"/>
        <w:spacing w:before="240" w:after="200"/>
      </w:pPr>
      <w:r>
        <w:t xml:space="preserve">A.2 Ethnicity — Not Hispanic or Latino as Reference</w:t>
      </w:r>
    </w:p>
    <w:tbl>
      <w:tblPr>
        <w:tblW w:type="dxa" w:w="7860"/>
        <w:tblBorders>
          <w:top w:val="single" w:color="auto" w:sz="4"/>
          <w:left w:val="single" w:color="auto" w:sz="4"/>
          <w:bottom w:val="single" w:color="auto" w:sz="4"/>
          <w:right w:val="single" w:color="auto" w:sz="4"/>
          <w:insideH w:val="single" w:color="auto" w:sz="4"/>
          <w:insideV w:val="single" w:color="auto" w:sz="4"/>
        </w:tblBorders>
      </w:tblPr>
      <w:tblGrid>
        <w:gridCol w:w="2600"/>
        <w:gridCol w:w="1100"/>
        <w:gridCol w:w="1000"/>
        <w:gridCol w:w="1100"/>
        <w:gridCol w:w="1400"/>
        <w:gridCol w:w="660"/>
      </w:tblGrid>
      <w:tr>
        <w:tc>
          <w:tcPr>
            <w:tcW w:type="dxa" w:w="26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Ethnicity</w:t>
            </w:r>
          </w:p>
        </w:tc>
        <w:tc>
          <w:tcPr>
            <w:tcW w:type="dxa" w:w="11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Applications</w:t>
            </w:r>
          </w:p>
        </w:tc>
        <w:tc>
          <w:tcPr>
            <w:tcW w:type="dxa" w:w="10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Approved</w:t>
            </w:r>
          </w:p>
        </w:tc>
        <w:tc>
          <w:tcPr>
            <w:tcW w:type="dxa" w:w="11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Approval Rate</w:t>
            </w:r>
          </w:p>
        </w:tc>
        <w:tc>
          <w:tcPr>
            <w:tcW w:type="dxa" w:w="14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IR vs Non-Hisp.</w:t>
            </w:r>
          </w:p>
        </w:tc>
        <w:tc>
          <w:tcPr>
            <w:tcW w:type="dxa" w:w="66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Result</w:t>
            </w:r>
          </w:p>
        </w:tc>
      </w:tr>
      <w:tr>
        <w:tc>
          <w:tcPr>
            <w:tcW w:type="dxa" w:w="26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Not Hispanic or Latino (REF)</w:t>
            </w:r>
          </w:p>
        </w:tc>
        <w:tc>
          <w:tcPr>
            <w:tcW w:type="dxa" w:w="11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27,524</w:t>
            </w:r>
          </w:p>
        </w:tc>
        <w:tc>
          <w:tcPr>
            <w:tcW w:type="dxa" w:w="10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18,222</w:t>
            </w:r>
          </w:p>
        </w:tc>
        <w:tc>
          <w:tcPr>
            <w:tcW w:type="dxa" w:w="11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66.2%</w:t>
            </w:r>
          </w:p>
        </w:tc>
        <w:tc>
          <w:tcPr>
            <w:tcW w:type="dxa" w:w="14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1.000</w:t>
            </w:r>
          </w:p>
        </w:tc>
        <w:tc>
          <w:tcPr>
            <w:tcW w:type="dxa" w:w="6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bCs/>
                <w:color w:val="0C1F3F"/>
                <w:sz w:val="18"/>
                <w:szCs w:val="18"/>
              </w:rPr>
              <w:t xml:space="preserve">REF</w:t>
            </w:r>
          </w:p>
        </w:tc>
      </w:tr>
      <w:tr>
        <w:tc>
          <w:tcPr>
            <w:tcW w:type="dxa" w:w="26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Joint</w:t>
            </w:r>
          </w:p>
        </w:tc>
        <w:tc>
          <w:tcPr>
            <w:tcW w:type="dxa" w:w="11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2,083</w:t>
            </w:r>
          </w:p>
        </w:tc>
        <w:tc>
          <w:tcPr>
            <w:tcW w:type="dxa" w:w="10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1,428</w:t>
            </w:r>
          </w:p>
        </w:tc>
        <w:tc>
          <w:tcPr>
            <w:tcW w:type="dxa" w:w="11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68.6%</w:t>
            </w:r>
          </w:p>
        </w:tc>
        <w:tc>
          <w:tcPr>
            <w:tcW w:type="dxa" w:w="14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1.036</w:t>
            </w:r>
          </w:p>
        </w:tc>
        <w:tc>
          <w:tcPr>
            <w:tcW w:type="dxa" w:w="6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bCs/>
                <w:color w:val="2E7D4F"/>
                <w:sz w:val="18"/>
                <w:szCs w:val="18"/>
              </w:rPr>
              <w:t xml:space="preserve">PASS</w:t>
            </w:r>
          </w:p>
        </w:tc>
      </w:tr>
      <w:tr>
        <w:tc>
          <w:tcPr>
            <w:tcW w:type="dxa" w:w="26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Hispanic or Latino</w:t>
            </w:r>
          </w:p>
        </w:tc>
        <w:tc>
          <w:tcPr>
            <w:tcW w:type="dxa" w:w="11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11,272</w:t>
            </w:r>
          </w:p>
        </w:tc>
        <w:tc>
          <w:tcPr>
            <w:tcW w:type="dxa" w:w="10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6,113</w:t>
            </w:r>
          </w:p>
        </w:tc>
        <w:tc>
          <w:tcPr>
            <w:tcW w:type="dxa" w:w="11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54.2%</w:t>
            </w:r>
          </w:p>
        </w:tc>
        <w:tc>
          <w:tcPr>
            <w:tcW w:type="dxa" w:w="14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0.819</w:t>
            </w:r>
          </w:p>
        </w:tc>
        <w:tc>
          <w:tcPr>
            <w:tcW w:type="dxa" w:w="6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bCs/>
                <w:color w:val="2E7D4F"/>
                <w:sz w:val="18"/>
                <w:szCs w:val="18"/>
              </w:rPr>
              <w:t xml:space="preserve">PASS</w:t>
            </w:r>
          </w:p>
        </w:tc>
      </w:tr>
    </w:tbl>
    <w:p>
      <w:pPr>
        <w:spacing w:after="200"/>
      </w:pPr>
    </w:p>
    <w:p>
      <w:pPr>
        <w:spacing w:after="200" w:before="0" w:line="276"/>
      </w:pPr>
      <w:r>
        <w:rPr>
          <w:rFonts w:ascii="Arial" w:cs="Arial" w:eastAsia="Arial" w:hAnsi="Arial"/>
          <w:b/>
          <w:bCs/>
          <w:color w:val="0C1F3F"/>
          <w:sz w:val="22"/>
          <w:szCs w:val="22"/>
        </w:rPr>
        <w:t xml:space="preserve">Critical note: </w:t>
      </w:r>
      <w:r>
        <w:rPr>
          <w:rFonts w:ascii="Arial" w:cs="Arial" w:eastAsia="Arial" w:hAnsi="Arial"/>
          <w:sz w:val="22"/>
          <w:szCs w:val="22"/>
        </w:rPr>
        <w:t xml:space="preserve">Hispanic or Latino applicants produce an IR of 0.819 against the Not Hispanic or Latino reference — above the four-fifths threshold and a PASS result. The failure in the main body (IR = 0.791) occurs only when Joint is used as reference. This demonstrates the sensitivity of adverse impact findings to reference group selection and underscores the importance of reporting both benchmarks.</w:t>
      </w:r>
    </w:p>
    <w:p>
      <w:r>
        <w:br w:type="page"/>
      </w:r>
    </w:p>
    <w:p>
      <w:pPr>
        <w:pStyle w:val="Heading1"/>
        <w:spacing w:before="360" w:after="200"/>
      </w:pPr>
      <w:r>
        <w:t xml:space="preserve">Appendix B: Statistical Significance Testing</w:t>
      </w:r>
    </w:p>
    <w:p>
      <w:pPr>
        <w:spacing w:after="200" w:before="0" w:line="276"/>
      </w:pPr>
      <w:r>
        <w:t xml:space="preserve">Two-proportion z-tests were conducted to assess whether observed differences in approval rates between groups are likely attributable to chance. All tests are two-tailed. Confidence intervals are calculated using the Wald method at the 95% level. For groups with small sample sizes (e.g., Native Hawaiian or Other Pacific Islander, n = 252), Wald intervals may underperform; alternative methods such as Wilson score intervals are recommended for follow-on analysis of these subgroups.</w:t>
      </w:r>
    </w:p>
    <w:p>
      <w:pPr>
        <w:pStyle w:val="Heading2"/>
        <w:spacing w:before="240" w:after="200"/>
      </w:pPr>
      <w:r>
        <w:t xml:space="preserve">B.1 Race — Difference from White Reference</w:t>
      </w:r>
    </w:p>
    <w:tbl>
      <w:tblPr>
        <w:tblW w:type="dxa" w:w="8360"/>
        <w:tblBorders>
          <w:top w:val="single" w:color="auto" w:sz="4"/>
          <w:left w:val="single" w:color="auto" w:sz="4"/>
          <w:bottom w:val="single" w:color="auto" w:sz="4"/>
          <w:right w:val="single" w:color="auto" w:sz="4"/>
          <w:insideH w:val="single" w:color="auto" w:sz="4"/>
          <w:insideV w:val="single" w:color="auto" w:sz="4"/>
        </w:tblBorders>
      </w:tblPr>
      <w:tblGrid>
        <w:gridCol w:w="1800"/>
        <w:gridCol w:w="1800"/>
        <w:gridCol w:w="1200"/>
        <w:gridCol w:w="1400"/>
        <w:gridCol w:w="800"/>
        <w:gridCol w:w="1360"/>
      </w:tblGrid>
      <w:tr>
        <w:tc>
          <w:tcPr>
            <w:tcW w:type="dxa" w:w="18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Group</w:t>
            </w:r>
          </w:p>
        </w:tc>
        <w:tc>
          <w:tcPr>
            <w:tcW w:type="dxa" w:w="18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Approval Rate (95% CI)</w:t>
            </w:r>
          </w:p>
        </w:tc>
        <w:tc>
          <w:tcPr>
            <w:tcW w:type="dxa" w:w="12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Diff. vs White</w:t>
            </w:r>
          </w:p>
        </w:tc>
        <w:tc>
          <w:tcPr>
            <w:tcW w:type="dxa" w:w="14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95% CI (Diff.)</w:t>
            </w:r>
          </w:p>
        </w:tc>
        <w:tc>
          <w:tcPr>
            <w:tcW w:type="dxa" w:w="8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z</w:t>
            </w:r>
          </w:p>
        </w:tc>
        <w:tc>
          <w:tcPr>
            <w:tcW w:type="dxa" w:w="136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p-value</w:t>
            </w:r>
          </w:p>
        </w:tc>
      </w:tr>
      <w:tr>
        <w:tc>
          <w:tcPr>
            <w:tcW w:type="dxa" w:w="1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White (REF)</w:t>
            </w:r>
          </w:p>
        </w:tc>
        <w:tc>
          <w:tcPr>
            <w:tcW w:type="dxa" w:w="1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66.5%</w:t>
            </w:r>
          </w:p>
        </w:tc>
        <w:tc>
          <w:tcPr>
            <w:tcW w:type="dxa" w:w="1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w:t>
            </w:r>
          </w:p>
        </w:tc>
        <w:tc>
          <w:tcPr>
            <w:tcW w:type="dxa" w:w="14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w:t>
            </w:r>
          </w:p>
        </w:tc>
        <w:tc>
          <w:tcPr>
            <w:tcW w:type="dxa" w:w="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w:t>
            </w:r>
          </w:p>
        </w:tc>
        <w:tc>
          <w:tcPr>
            <w:tcW w:type="dxa" w:w="13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bCs/>
                <w:color w:val="0C1F3F"/>
                <w:sz w:val="18"/>
                <w:szCs w:val="18"/>
              </w:rPr>
              <w:t xml:space="preserve">—</w:t>
            </w:r>
          </w:p>
        </w:tc>
      </w:tr>
      <w:tr>
        <w:tc>
          <w:tcPr>
            <w:tcW w:type="dxa" w:w="18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Asian</w:t>
            </w:r>
          </w:p>
        </w:tc>
        <w:tc>
          <w:tcPr>
            <w:tcW w:type="dxa" w:w="18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61.1% [60.0%, 62.2%]</w:t>
            </w:r>
          </w:p>
        </w:tc>
        <w:tc>
          <w:tcPr>
            <w:tcW w:type="dxa" w:w="1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−5.4pp</w:t>
            </w:r>
          </w:p>
        </w:tc>
        <w:tc>
          <w:tcPr>
            <w:tcW w:type="dxa" w:w="14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[4.1pp, 6.6pp]</w:t>
            </w:r>
          </w:p>
        </w:tc>
        <w:tc>
          <w:tcPr>
            <w:tcW w:type="dxa" w:w="8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8.51</w:t>
            </w:r>
          </w:p>
        </w:tc>
        <w:tc>
          <w:tcPr>
            <w:tcW w:type="dxa" w:w="13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bCs/>
                <w:color w:val="0C1F3F"/>
                <w:sz w:val="18"/>
                <w:szCs w:val="18"/>
              </w:rPr>
              <w:t xml:space="preserve">&lt; 0.001</w:t>
            </w:r>
          </w:p>
        </w:tc>
      </w:tr>
      <w:tr>
        <w:tc>
          <w:tcPr>
            <w:tcW w:type="dxa" w:w="1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Black / Afr. Am.</w:t>
            </w:r>
          </w:p>
        </w:tc>
        <w:tc>
          <w:tcPr>
            <w:tcW w:type="dxa" w:w="1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52.2% [50.2%, 54.2%]</w:t>
            </w:r>
          </w:p>
        </w:tc>
        <w:tc>
          <w:tcPr>
            <w:tcW w:type="dxa" w:w="1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−14.3pp</w:t>
            </w:r>
          </w:p>
        </w:tc>
        <w:tc>
          <w:tcPr>
            <w:tcW w:type="dxa" w:w="14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[12.2pp, 16.4pp]</w:t>
            </w:r>
          </w:p>
        </w:tc>
        <w:tc>
          <w:tcPr>
            <w:tcW w:type="dxa" w:w="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13.84</w:t>
            </w:r>
          </w:p>
        </w:tc>
        <w:tc>
          <w:tcPr>
            <w:tcW w:type="dxa" w:w="13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bCs/>
                <w:color w:val="0C1F3F"/>
                <w:sz w:val="18"/>
                <w:szCs w:val="18"/>
              </w:rPr>
              <w:t xml:space="preserve">&lt; 0.001</w:t>
            </w:r>
          </w:p>
        </w:tc>
      </w:tr>
      <w:tr>
        <w:tc>
          <w:tcPr>
            <w:tcW w:type="dxa" w:w="18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Am. Indian / AK Native</w:t>
            </w:r>
          </w:p>
        </w:tc>
        <w:tc>
          <w:tcPr>
            <w:tcW w:type="dxa" w:w="18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47.9% [43.7%, 52.2%]</w:t>
            </w:r>
          </w:p>
        </w:tc>
        <w:tc>
          <w:tcPr>
            <w:tcW w:type="dxa" w:w="1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−18.6pp</w:t>
            </w:r>
          </w:p>
        </w:tc>
        <w:tc>
          <w:tcPr>
            <w:tcW w:type="dxa" w:w="14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[14.3pp, 22.9pp]</w:t>
            </w:r>
          </w:p>
        </w:tc>
        <w:tc>
          <w:tcPr>
            <w:tcW w:type="dxa" w:w="8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8.94</w:t>
            </w:r>
          </w:p>
        </w:tc>
        <w:tc>
          <w:tcPr>
            <w:tcW w:type="dxa" w:w="13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bCs/>
                <w:color w:val="0C1F3F"/>
                <w:sz w:val="18"/>
                <w:szCs w:val="18"/>
              </w:rPr>
              <w:t xml:space="preserve">&lt; 0.001</w:t>
            </w:r>
          </w:p>
        </w:tc>
      </w:tr>
      <w:tr>
        <w:tc>
          <w:tcPr>
            <w:tcW w:type="dxa" w:w="1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Nat. Haw. / Pac. Isl.</w:t>
            </w:r>
          </w:p>
        </w:tc>
        <w:tc>
          <w:tcPr>
            <w:tcW w:type="dxa" w:w="1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42.9% [36.7%, 49.0%]</w:t>
            </w:r>
          </w:p>
        </w:tc>
        <w:tc>
          <w:tcPr>
            <w:tcW w:type="dxa" w:w="1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−23.6pp</w:t>
            </w:r>
          </w:p>
        </w:tc>
        <w:tc>
          <w:tcPr>
            <w:tcW w:type="dxa" w:w="14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[17.5pp, 29.8pp]</w:t>
            </w:r>
          </w:p>
        </w:tc>
        <w:tc>
          <w:tcPr>
            <w:tcW w:type="dxa" w:w="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7.90</w:t>
            </w:r>
          </w:p>
        </w:tc>
        <w:tc>
          <w:tcPr>
            <w:tcW w:type="dxa" w:w="13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bCs/>
                <w:color w:val="0C1F3F"/>
                <w:sz w:val="18"/>
                <w:szCs w:val="18"/>
              </w:rPr>
              <w:t xml:space="preserve">&lt; 0.001</w:t>
            </w:r>
          </w:p>
        </w:tc>
      </w:tr>
      <w:tr>
        <w:tc>
          <w:tcPr>
            <w:tcW w:type="dxa" w:w="18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2+ minority races</w:t>
            </w:r>
          </w:p>
        </w:tc>
        <w:tc>
          <w:tcPr>
            <w:tcW w:type="dxa" w:w="18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50.2% [43.4%, 57.1%]</w:t>
            </w:r>
          </w:p>
        </w:tc>
        <w:tc>
          <w:tcPr>
            <w:tcW w:type="dxa" w:w="1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−16.3pp</w:t>
            </w:r>
          </w:p>
        </w:tc>
        <w:tc>
          <w:tcPr>
            <w:tcW w:type="dxa" w:w="14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[9.4pp, 23.2pp]</w:t>
            </w:r>
          </w:p>
        </w:tc>
        <w:tc>
          <w:tcPr>
            <w:tcW w:type="dxa" w:w="8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4.88</w:t>
            </w:r>
          </w:p>
        </w:tc>
        <w:tc>
          <w:tcPr>
            <w:tcW w:type="dxa" w:w="13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bCs/>
                <w:color w:val="0C1F3F"/>
                <w:sz w:val="18"/>
                <w:szCs w:val="18"/>
              </w:rPr>
              <w:t xml:space="preserve">&lt; 0.001</w:t>
            </w:r>
          </w:p>
        </w:tc>
      </w:tr>
    </w:tbl>
    <w:p>
      <w:pPr>
        <w:spacing w:after="200"/>
      </w:pPr>
    </w:p>
    <w:p>
      <w:pPr>
        <w:pStyle w:val="Heading2"/>
        <w:spacing w:before="240" w:after="200"/>
      </w:pPr>
      <w:r>
        <w:t xml:space="preserve">B.2 Ethnicity — Hispanic vs Not Hispanic</w:t>
      </w:r>
    </w:p>
    <w:p>
      <w:pPr>
        <w:spacing w:after="200" w:before="0" w:line="276"/>
      </w:pPr>
      <w:r>
        <w:rPr>
          <w:rFonts w:ascii="Arial" w:cs="Arial" w:eastAsia="Arial" w:hAnsi="Arial"/>
          <w:sz w:val="22"/>
          <w:szCs w:val="22"/>
        </w:rPr>
        <w:t xml:space="preserve">Hispanic or Latino approval rate: 54.2% (95% CI: [53.3%, 55.2%]). Difference from Not Hispanic or Latino: 12.0 percentage points (95% CI: [10.9pp, 13.0pp]). z = 22.14, p &lt; 0.001. The disparity is highly significant and extremely unlikely to be attributable to sampling variability.</w:t>
      </w:r>
    </w:p>
    <w:p>
      <w:pPr>
        <w:spacing w:after="200"/>
      </w:pPr>
    </w:p>
    <w:p>
      <w:pPr>
        <w:spacing w:after="200" w:before="0" w:line="276"/>
      </w:pPr>
      <w:r>
        <w:rPr>
          <w:rFonts w:ascii="Arial" w:cs="Arial" w:eastAsia="Arial" w:hAnsi="Arial"/>
          <w:b/>
          <w:bCs/>
          <w:color w:val="0C1F3F"/>
          <w:sz w:val="22"/>
          <w:szCs w:val="22"/>
        </w:rPr>
        <w:t xml:space="preserve">Interpretation guidance: </w:t>
      </w:r>
      <w:r>
        <w:rPr>
          <w:rFonts w:ascii="Arial" w:cs="Arial" w:eastAsia="Arial" w:hAnsi="Arial"/>
          <w:sz w:val="22"/>
          <w:szCs w:val="22"/>
        </w:rPr>
        <w:t xml:space="preserve">Statistical significance indicates the observed differences are unlikely due to chance. It does not indicate that the differences are caused by discriminatory lending practices. Differences may be partially or fully explained by legitimate underwriting factors not available in the public HMDA dataset.</w:t>
      </w:r>
    </w:p>
    <w:p>
      <w:r>
        <w:br w:type="page"/>
      </w:r>
    </w:p>
    <w:p>
      <w:pPr>
        <w:pStyle w:val="Heading1"/>
        <w:spacing w:before="360" w:after="200"/>
      </w:pPr>
      <w:r>
        <w:t xml:space="preserve">Appendix C: HMDA Denial Reason Codes</w:t>
      </w:r>
    </w:p>
    <w:p>
      <w:pPr>
        <w:spacing w:after="200" w:before="0" w:line="276"/>
      </w:pPr>
      <w:r>
        <w:t xml:space="preserve">The HMDA dataset records up to four denial reasons per application. This report uses the primary denial reason field (denial_reason-1) only. Of the 18,136 denied applications in this sample, 21.6% also report a secondary denial reason (denial_reason-2). The following table shows all HMDA denial reason codes and their frequency in this dataset.</w:t>
      </w:r>
    </w:p>
    <w:tbl>
      <w:tblPr>
        <w:tblW w:type="dxa" w:w="8360"/>
        <w:tblBorders>
          <w:top w:val="single" w:color="auto" w:sz="4"/>
          <w:left w:val="single" w:color="auto" w:sz="4"/>
          <w:bottom w:val="single" w:color="auto" w:sz="4"/>
          <w:right w:val="single" w:color="auto" w:sz="4"/>
          <w:insideH w:val="single" w:color="auto" w:sz="4"/>
          <w:insideV w:val="single" w:color="auto" w:sz="4"/>
        </w:tblBorders>
      </w:tblPr>
      <w:tblGrid>
        <w:gridCol w:w="800"/>
        <w:gridCol w:w="4400"/>
        <w:gridCol w:w="1200"/>
        <w:gridCol w:w="1960"/>
      </w:tblGrid>
      <w:tr>
        <w:tc>
          <w:tcPr>
            <w:tcW w:type="dxa" w:w="8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Code</w:t>
            </w:r>
          </w:p>
        </w:tc>
        <w:tc>
          <w:tcPr>
            <w:tcW w:type="dxa" w:w="44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Description</w:t>
            </w:r>
          </w:p>
        </w:tc>
        <w:tc>
          <w:tcPr>
            <w:tcW w:type="dxa" w:w="12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Count</w:t>
            </w:r>
          </w:p>
        </w:tc>
        <w:tc>
          <w:tcPr>
            <w:tcW w:type="dxa" w:w="196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 of Denials</w:t>
            </w:r>
          </w:p>
        </w:tc>
      </w:tr>
      <w:tr>
        <w:tc>
          <w:tcPr>
            <w:tcW w:type="dxa" w:w="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1</w:t>
            </w:r>
          </w:p>
        </w:tc>
        <w:tc>
          <w:tcPr>
            <w:tcW w:type="dxa" w:w="44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Debt-to-income ratio</w:t>
            </w:r>
          </w:p>
        </w:tc>
        <w:tc>
          <w:tcPr>
            <w:tcW w:type="dxa" w:w="1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7,574</w:t>
            </w:r>
          </w:p>
        </w:tc>
        <w:tc>
          <w:tcPr>
            <w:tcW w:type="dxa" w:w="19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bCs/>
                <w:color w:val="0C1F3F"/>
                <w:sz w:val="18"/>
                <w:szCs w:val="18"/>
              </w:rPr>
              <w:t xml:space="preserve">41.8%</w:t>
            </w:r>
          </w:p>
        </w:tc>
      </w:tr>
      <w:tr>
        <w:tc>
          <w:tcPr>
            <w:tcW w:type="dxa" w:w="8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2</w:t>
            </w:r>
          </w:p>
        </w:tc>
        <w:tc>
          <w:tcPr>
            <w:tcW w:type="dxa" w:w="44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Employment history</w:t>
            </w:r>
          </w:p>
        </w:tc>
        <w:tc>
          <w:tcPr>
            <w:tcW w:type="dxa" w:w="1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126</w:t>
            </w:r>
          </w:p>
        </w:tc>
        <w:tc>
          <w:tcPr>
            <w:tcW w:type="dxa" w:w="19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bCs/>
                <w:color w:val="0C1F3F"/>
                <w:sz w:val="18"/>
                <w:szCs w:val="18"/>
              </w:rPr>
              <w:t xml:space="preserve">0.7%</w:t>
            </w:r>
          </w:p>
        </w:tc>
      </w:tr>
      <w:tr>
        <w:tc>
          <w:tcPr>
            <w:tcW w:type="dxa" w:w="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3</w:t>
            </w:r>
          </w:p>
        </w:tc>
        <w:tc>
          <w:tcPr>
            <w:tcW w:type="dxa" w:w="44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Credit history</w:t>
            </w:r>
          </w:p>
        </w:tc>
        <w:tc>
          <w:tcPr>
            <w:tcW w:type="dxa" w:w="1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4,008</w:t>
            </w:r>
          </w:p>
        </w:tc>
        <w:tc>
          <w:tcPr>
            <w:tcW w:type="dxa" w:w="19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bCs/>
                <w:color w:val="0C1F3F"/>
                <w:sz w:val="18"/>
                <w:szCs w:val="18"/>
              </w:rPr>
              <w:t xml:space="preserve">22.1%</w:t>
            </w:r>
          </w:p>
        </w:tc>
      </w:tr>
      <w:tr>
        <w:tc>
          <w:tcPr>
            <w:tcW w:type="dxa" w:w="8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4</w:t>
            </w:r>
          </w:p>
        </w:tc>
        <w:tc>
          <w:tcPr>
            <w:tcW w:type="dxa" w:w="44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Collateral</w:t>
            </w:r>
          </w:p>
        </w:tc>
        <w:tc>
          <w:tcPr>
            <w:tcW w:type="dxa" w:w="1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2,754</w:t>
            </w:r>
          </w:p>
        </w:tc>
        <w:tc>
          <w:tcPr>
            <w:tcW w:type="dxa" w:w="19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bCs/>
                <w:color w:val="0C1F3F"/>
                <w:sz w:val="18"/>
                <w:szCs w:val="18"/>
              </w:rPr>
              <w:t xml:space="preserve">15.2%</w:t>
            </w:r>
          </w:p>
        </w:tc>
      </w:tr>
      <w:tr>
        <w:tc>
          <w:tcPr>
            <w:tcW w:type="dxa" w:w="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5</w:t>
            </w:r>
          </w:p>
        </w:tc>
        <w:tc>
          <w:tcPr>
            <w:tcW w:type="dxa" w:w="44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Insufficient cash (downpayment, closing costs)</w:t>
            </w:r>
          </w:p>
        </w:tc>
        <w:tc>
          <w:tcPr>
            <w:tcW w:type="dxa" w:w="1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146</w:t>
            </w:r>
          </w:p>
        </w:tc>
        <w:tc>
          <w:tcPr>
            <w:tcW w:type="dxa" w:w="19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bCs/>
                <w:color w:val="0C1F3F"/>
                <w:sz w:val="18"/>
                <w:szCs w:val="18"/>
              </w:rPr>
              <w:t xml:space="preserve">0.8%</w:t>
            </w:r>
          </w:p>
        </w:tc>
      </w:tr>
      <w:tr>
        <w:tc>
          <w:tcPr>
            <w:tcW w:type="dxa" w:w="8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6</w:t>
            </w:r>
          </w:p>
        </w:tc>
        <w:tc>
          <w:tcPr>
            <w:tcW w:type="dxa" w:w="44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Unverifiable information</w:t>
            </w:r>
          </w:p>
        </w:tc>
        <w:tc>
          <w:tcPr>
            <w:tcW w:type="dxa" w:w="1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485</w:t>
            </w:r>
          </w:p>
        </w:tc>
        <w:tc>
          <w:tcPr>
            <w:tcW w:type="dxa" w:w="19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bCs/>
                <w:color w:val="0C1F3F"/>
                <w:sz w:val="18"/>
                <w:szCs w:val="18"/>
              </w:rPr>
              <w:t xml:space="preserve">2.7%</w:t>
            </w:r>
          </w:p>
        </w:tc>
      </w:tr>
      <w:tr>
        <w:tc>
          <w:tcPr>
            <w:tcW w:type="dxa" w:w="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7</w:t>
            </w:r>
          </w:p>
        </w:tc>
        <w:tc>
          <w:tcPr>
            <w:tcW w:type="dxa" w:w="44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Credit application incomplete</w:t>
            </w:r>
          </w:p>
        </w:tc>
        <w:tc>
          <w:tcPr>
            <w:tcW w:type="dxa" w:w="1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1,526</w:t>
            </w:r>
          </w:p>
        </w:tc>
        <w:tc>
          <w:tcPr>
            <w:tcW w:type="dxa" w:w="19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bCs/>
                <w:color w:val="0C1F3F"/>
                <w:sz w:val="18"/>
                <w:szCs w:val="18"/>
              </w:rPr>
              <w:t xml:space="preserve">8.4%</w:t>
            </w:r>
          </w:p>
        </w:tc>
      </w:tr>
      <w:tr>
        <w:tc>
          <w:tcPr>
            <w:tcW w:type="dxa" w:w="8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8</w:t>
            </w:r>
          </w:p>
        </w:tc>
        <w:tc>
          <w:tcPr>
            <w:tcW w:type="dxa" w:w="44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Mortgage insurance denied</w:t>
            </w:r>
          </w:p>
        </w:tc>
        <w:tc>
          <w:tcPr>
            <w:tcW w:type="dxa" w:w="1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1</w:t>
            </w:r>
          </w:p>
        </w:tc>
        <w:tc>
          <w:tcPr>
            <w:tcW w:type="dxa" w:w="19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bCs/>
                <w:color w:val="0C1F3F"/>
                <w:sz w:val="18"/>
                <w:szCs w:val="18"/>
              </w:rPr>
              <w:t xml:space="preserve">&lt; 0.1%</w:t>
            </w:r>
          </w:p>
        </w:tc>
      </w:tr>
      <w:tr>
        <w:tc>
          <w:tcPr>
            <w:tcW w:type="dxa" w:w="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9</w:t>
            </w:r>
          </w:p>
        </w:tc>
        <w:tc>
          <w:tcPr>
            <w:tcW w:type="dxa" w:w="44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Other</w:t>
            </w:r>
          </w:p>
        </w:tc>
        <w:tc>
          <w:tcPr>
            <w:tcW w:type="dxa" w:w="1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1,487</w:t>
            </w:r>
          </w:p>
        </w:tc>
        <w:tc>
          <w:tcPr>
            <w:tcW w:type="dxa" w:w="19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center"/>
            </w:pPr>
            <w:r>
              <w:rPr>
                <w:rFonts w:ascii="Arial" w:cs="Arial" w:eastAsia="Arial" w:hAnsi="Arial"/>
                <w:b/>
                <w:bCs/>
                <w:color w:val="0C1F3F"/>
                <w:sz w:val="18"/>
                <w:szCs w:val="18"/>
              </w:rPr>
              <w:t xml:space="preserve">8.2%</w:t>
            </w:r>
          </w:p>
        </w:tc>
      </w:tr>
      <w:tr>
        <w:tc>
          <w:tcPr>
            <w:tcW w:type="dxa" w:w="8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1111</w:t>
            </w:r>
          </w:p>
        </w:tc>
        <w:tc>
          <w:tcPr>
            <w:tcW w:type="dxa" w:w="44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8"/>
                <w:szCs w:val="18"/>
              </w:rPr>
              <w:t xml:space="preserve">Exempt (not required to report)</w:t>
            </w:r>
          </w:p>
        </w:tc>
        <w:tc>
          <w:tcPr>
            <w:tcW w:type="dxa" w:w="1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val="false"/>
                <w:bCs w:val="false"/>
                <w:color w:val="0C1F3F"/>
                <w:sz w:val="18"/>
                <w:szCs w:val="18"/>
              </w:rPr>
              <w:t xml:space="preserve">29</w:t>
            </w:r>
          </w:p>
        </w:tc>
        <w:tc>
          <w:tcPr>
            <w:tcW w:type="dxa" w:w="19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center"/>
            </w:pPr>
            <w:r>
              <w:rPr>
                <w:rFonts w:ascii="Arial" w:cs="Arial" w:eastAsia="Arial" w:hAnsi="Arial"/>
                <w:b/>
                <w:bCs/>
                <w:color w:val="0C1F3F"/>
                <w:sz w:val="18"/>
                <w:szCs w:val="18"/>
              </w:rPr>
              <w:t xml:space="preserve">0.2%</w:t>
            </w:r>
          </w:p>
        </w:tc>
      </w:tr>
    </w:tbl>
    <w:p>
      <w:pPr>
        <w:spacing w:after="200"/>
      </w:pPr>
    </w:p>
    <w:p>
      <w:pPr>
        <w:spacing w:after="200" w:before="0" w:line="276"/>
      </w:pPr>
      <w:r>
        <w:rPr>
          <w:rFonts w:ascii="Arial" w:cs="Arial" w:eastAsia="Arial" w:hAnsi="Arial"/>
          <w:b/>
          <w:bCs/>
          <w:color w:val="0C1F3F"/>
          <w:sz w:val="22"/>
          <w:szCs w:val="22"/>
        </w:rPr>
        <w:t xml:space="preserve">Note on Section 8.1 tables: </w:t>
      </w:r>
      <w:r>
        <w:rPr>
          <w:rFonts w:ascii="Arial" w:cs="Arial" w:eastAsia="Arial" w:hAnsi="Arial"/>
          <w:sz w:val="22"/>
          <w:szCs w:val="22"/>
        </w:rPr>
        <w:t xml:space="preserve">The denial reason tables in Section 8.1 report the five most frequent primary denial reasons per racial group. Codes 2 (Employment history), 5 (Insufficient cash), 6 (Unverifiable information), 8 (Mortgage insurance denied), and 1111 (Exempt) are omitted from those tables due to low frequency. ‘Other’ in Section 8.1 refers exclusively to HMDA code 9.</w:t>
      </w:r>
    </w:p>
    <w:p>
      <w:pPr>
        <w:spacing w:before="600"/>
      </w:pPr>
    </w:p>
    <w:p>
      <w:pPr>
        <w:pBdr>
          <w:top w:val="single" w:color="D8DFE8" w:sz="1" w:space="8"/>
        </w:pBdr>
        <w:jc w:val="center"/>
      </w:pPr>
      <w:r>
        <w:rPr>
          <w:rFonts w:ascii="Arial" w:cs="Arial" w:eastAsia="Arial" w:hAnsi="Arial"/>
          <w:b/>
          <w:bCs/>
          <w:color w:val="7E90A6"/>
          <w:sz w:val="18"/>
          <w:szCs w:val="18"/>
        </w:rPr>
        <w:t xml:space="preserve">END OF REPORT</w:t>
      </w:r>
    </w:p>
    <w:p>
      <w:pPr>
        <w:jc w:val="center"/>
      </w:pPr>
      <w:r>
        <w:rPr>
          <w:rFonts w:ascii="Arial" w:cs="Arial" w:eastAsia="Arial" w:hAnsi="Arial"/>
          <w:color w:val="7E90A6"/>
          <w:sz w:val="18"/>
          <w:szCs w:val="18"/>
        </w:rPr>
        <w:t xml:space="preserve">Minerva AI Assurance  ·  Singapore  ·  United States  ·  hello@trustminerva.com</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7E90A6"/>
        <w:sz w:val="16"/>
        <w:szCs w:val="16"/>
      </w:rPr>
      <w:t xml:space="preserve">CONFIDENTIAL  |  Page </w:t>
    </w:r>
    <w:r>
      <w:rPr>
        <w:rFonts w:ascii="Arial" w:cs="Arial" w:eastAsia="Arial" w:hAnsi="Arial"/>
        <w:color w:val="7E90A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8DFE8" w:sz="1" w:space="4"/>
      </w:pBdr>
      <w:jc w:val="right"/>
    </w:pPr>
    <w:r>
      <w:rPr>
        <w:rFonts w:ascii="Arial" w:cs="Arial" w:eastAsia="Arial" w:hAnsi="Arial"/>
        <w:color w:val="7E90A6"/>
        <w:sz w:val="16"/>
        <w:szCs w:val="16"/>
      </w:rPr>
      <w:t xml:space="preserve">Minerva AI Assurance  |  Fair Lending Adverse Impact Analysis  |  California HMDA 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40"/>
      <w:outlineLvl w:val="0"/>
    </w:pPr>
    <w:rPr>
      <w:rFonts w:ascii="Arial" w:cs="Arial" w:eastAsia="Arial" w:hAnsi="Arial"/>
      <w:b/>
      <w:bCs/>
      <w:color w:val="0C1F3F"/>
      <w:sz w:val="32"/>
      <w:szCs w:val="32"/>
    </w:rPr>
  </w:style>
  <w:style w:type="paragraph" w:styleId="Heading2">
    <w:name w:val="Heading 2"/>
    <w:basedOn w:val="Normal"/>
    <w:next w:val="Normal"/>
    <w:qFormat/>
    <w:pPr>
      <w:spacing w:before="240" w:after="180"/>
      <w:outlineLvl w:val="1"/>
    </w:pPr>
    <w:rPr>
      <w:rFonts w:ascii="Arial" w:cs="Arial" w:eastAsia="Arial" w:hAnsi="Arial"/>
      <w:b/>
      <w:bCs/>
      <w:color w:val="0C1F3F"/>
      <w:sz w:val="26"/>
      <w:szCs w:val="26"/>
    </w:rPr>
  </w:style>
  <w:style w:type="paragraph" w:styleId="Heading3">
    <w:name w:val="Heading 3"/>
    <w:basedOn w:val="Normal"/>
    <w:next w:val="Normal"/>
    <w:qFormat/>
    <w:pPr>
      <w:spacing w:before="200" w:after="120"/>
      <w:outlineLvl w:val="2"/>
    </w:pPr>
    <w:rPr>
      <w:rFonts w:ascii="Arial" w:cs="Arial" w:eastAsia="Arial" w:hAnsi="Arial"/>
      <w:b/>
      <w:bCs/>
      <w:color w:val="546A8A"/>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2026-02-21T09:17:55.004Z</dcterms:created>
  <dcterms:modified xsi:type="dcterms:W3CDTF">2026-02-21T09:17:55.005Z</dcterms:modified>
</cp:coreProperties>
</file>

<file path=docProps/custom.xml><?xml version="1.0" encoding="utf-8"?>
<Properties xmlns="http://schemas.openxmlformats.org/officeDocument/2006/custom-properties" xmlns:vt="http://schemas.openxmlformats.org/officeDocument/2006/docPropsVTypes"/>
</file>