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pPr>
      <w:r>
        <w:rPr>
          <w:rFonts w:ascii="Arial" w:cs="Arial" w:eastAsia="Arial" w:hAnsi="Arial"/>
          <w:b/>
          <w:bCs/>
          <w:color w:val="7E90A6"/>
          <w:spacing w:val="200"/>
          <w:sz w:val="18"/>
          <w:szCs w:val="18"/>
        </w:rPr>
        <w:t xml:space="preserve">MINERVA RESEARCH</w:t>
      </w:r>
    </w:p>
    <w:p>
      <w:pPr>
        <w:spacing w:after="40"/>
      </w:pPr>
      <w:r>
        <w:rPr>
          <w:rFonts w:ascii="Arial" w:cs="Arial" w:eastAsia="Arial" w:hAnsi="Arial"/>
          <w:b/>
          <w:bCs/>
          <w:color w:val="0C1F3F"/>
          <w:sz w:val="48"/>
          <w:szCs w:val="48"/>
        </w:rPr>
        <w:t xml:space="preserve">Understanding FEAT</w:t>
      </w:r>
    </w:p>
    <w:p>
      <w:pPr>
        <w:spacing w:after="120"/>
      </w:pPr>
      <w:r>
        <w:rPr>
          <w:rFonts w:ascii="Arial" w:cs="Arial" w:eastAsia="Arial" w:hAnsi="Arial"/>
          <w:b/>
          <w:bCs/>
          <w:color w:val="0C1F3F"/>
          <w:sz w:val="48"/>
          <w:szCs w:val="48"/>
        </w:rPr>
        <w:t xml:space="preserve">Fairness Principles</w:t>
      </w:r>
    </w:p>
    <w:p>
      <w:pPr>
        <w:spacing w:after="600"/>
      </w:pPr>
      <w:r>
        <w:rPr>
          <w:rFonts w:ascii="Arial" w:cs="Arial" w:eastAsia="Arial" w:hAnsi="Arial"/>
          <w:color w:val="546A8A"/>
          <w:sz w:val="26"/>
          <w:szCs w:val="26"/>
        </w:rPr>
        <w:t xml:space="preserve">A Practitioner’s Guide for Financial Institutions</w:t>
      </w:r>
    </w:p>
    <w:p>
      <w:pPr>
        <w:pBdr>
          <w:bottom w:val="single" w:color="1565C0" w:sz="6" w:space="1"/>
        </w:pBdr>
        <w:spacing w:after="400"/>
      </w:pPr>
    </w:p>
    <w:p>
      <w:pPr>
        <w:spacing w:after="120"/>
      </w:pPr>
      <w:r>
        <w:rPr>
          <w:rFonts w:ascii="Arial" w:cs="Arial" w:eastAsia="Arial" w:hAnsi="Arial"/>
          <w:b/>
          <w:bCs/>
          <w:sz w:val="22"/>
          <w:szCs w:val="22"/>
        </w:rPr>
        <w:t xml:space="preserve">Framework: </w:t>
      </w:r>
      <w:r>
        <w:rPr>
          <w:rFonts w:ascii="Arial" w:cs="Arial" w:eastAsia="Arial" w:hAnsi="Arial"/>
          <w:sz w:val="22"/>
          <w:szCs w:val="22"/>
        </w:rPr>
        <w:t xml:space="preserve">MAS Fairness, Ethics, Accountability and Transparency (FEAT) Principles</w:t>
      </w:r>
    </w:p>
    <w:p>
      <w:pPr>
        <w:spacing w:after="120"/>
      </w:pPr>
      <w:r>
        <w:rPr>
          <w:rFonts w:ascii="Arial" w:cs="Arial" w:eastAsia="Arial" w:hAnsi="Arial"/>
          <w:b/>
          <w:bCs/>
          <w:sz w:val="22"/>
          <w:szCs w:val="22"/>
        </w:rPr>
        <w:t xml:space="preserve">Scope: </w:t>
      </w:r>
      <w:r>
        <w:rPr>
          <w:rFonts w:ascii="Arial" w:cs="Arial" w:eastAsia="Arial" w:hAnsi="Arial"/>
          <w:sz w:val="22"/>
          <w:szCs w:val="22"/>
        </w:rPr>
        <w:t xml:space="preserve">Fairness Principles 1–4 and practical assessment methodology</w:t>
      </w:r>
    </w:p>
    <w:p>
      <w:pPr>
        <w:spacing w:after="120"/>
      </w:pPr>
      <w:r>
        <w:rPr>
          <w:rFonts w:ascii="Arial" w:cs="Arial" w:eastAsia="Arial" w:hAnsi="Arial"/>
          <w:b/>
          <w:bCs/>
          <w:sz w:val="22"/>
          <w:szCs w:val="22"/>
        </w:rPr>
        <w:t xml:space="preserve">Audience: </w:t>
      </w:r>
      <w:r>
        <w:rPr>
          <w:rFonts w:ascii="Arial" w:cs="Arial" w:eastAsia="Arial" w:hAnsi="Arial"/>
          <w:sz w:val="22"/>
          <w:szCs w:val="22"/>
        </w:rPr>
        <w:t xml:space="preserve">Model risk, compliance, data analytics, and AI governance teams</w:t>
      </w:r>
    </w:p>
    <w:p>
      <w:pPr>
        <w:spacing w:after="120"/>
      </w:pPr>
      <w:r>
        <w:rPr>
          <w:rFonts w:ascii="Arial" w:cs="Arial" w:eastAsia="Arial" w:hAnsi="Arial"/>
          <w:b/>
          <w:bCs/>
          <w:sz w:val="22"/>
          <w:szCs w:val="22"/>
        </w:rPr>
        <w:t xml:space="preserve">Date: </w:t>
      </w:r>
      <w:r>
        <w:rPr>
          <w:rFonts w:ascii="Arial" w:cs="Arial" w:eastAsia="Arial" w:hAnsi="Arial"/>
          <w:sz w:val="22"/>
          <w:szCs w:val="22"/>
        </w:rPr>
        <w:t xml:space="preserve">February 2026</w:t>
      </w:r>
    </w:p>
    <w:p>
      <w:pPr>
        <w:spacing w:before="1800"/>
      </w:pPr>
    </w:p>
    <w:p>
      <w:pPr>
        <w:spacing w:after="60"/>
      </w:pPr>
      <w:r>
        <w:rPr>
          <w:rFonts w:ascii="Arial" w:cs="Arial" w:eastAsia="Arial" w:hAnsi="Arial"/>
          <w:color w:val="7E90A6"/>
          <w:sz w:val="20"/>
          <w:szCs w:val="20"/>
        </w:rPr>
        <w:t xml:space="preserve">Prepared by Minerva AI Assurance</w:t>
      </w:r>
    </w:p>
    <w:p>
      <w:r>
        <w:rPr>
          <w:rFonts w:ascii="Arial" w:cs="Arial" w:eastAsia="Arial" w:hAnsi="Arial"/>
          <w:color w:val="7E90A6"/>
          <w:sz w:val="20"/>
          <w:szCs w:val="20"/>
        </w:rPr>
        <w:t xml:space="preserve">hello@trustminerva.com  ·  www.trustminerva.com</w:t>
      </w:r>
    </w:p>
    <w:p>
      <w:pPr>
        <w:sectPr>
          <w:pgSz w:w="12240" w:h="15840" w:orient="portrait"/>
          <w:pgMar w:top="1440" w:right="1440" w:bottom="1440" w:left="1440" w:header="708" w:footer="708" w:gutter="0"/>
          <w:pgNumType/>
          <w:docGrid w:linePitch="360"/>
        </w:sectPr>
      </w:pPr>
    </w:p>
    <w:p>
      <w:pPr>
        <w:pStyle w:val="Heading1"/>
        <w:spacing w:before="360" w:after="200"/>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t xml:space="preserve">1. What FEAT Is and Who It Applies To</w:t>
      </w:r>
    </w:p>
    <w:p>
      <w:pPr>
        <w:spacing w:after="200" w:before="0" w:line="276"/>
      </w:pPr>
      <w:r>
        <w:rPr>
          <w:rFonts w:ascii="Arial" w:cs="Arial" w:eastAsia="Arial" w:hAnsi="Arial"/>
          <w:sz w:val="22"/>
          <w:szCs w:val="22"/>
        </w:rPr>
        <w:t xml:space="preserve">In 2018, the Monetary Authority of Singapore (MAS) published the FEAT Principles — Fairness, Ethics, Accountability, and Transparency — as guidance for Singapore-regulated financial institutions using AI and data analytics (referred to as “AIDA” systems in MAS terminology). Other firms operating in Singapore’s financial sector often reference FEAT as best practice, but applicability depends on regulatory perimeter and business model.</w:t>
      </w:r>
    </w:p>
    <w:p>
      <w:pPr>
        <w:spacing w:after="200" w:before="0" w:line="276"/>
      </w:pPr>
      <w:r>
        <w:rPr>
          <w:rFonts w:ascii="Arial" w:cs="Arial" w:eastAsia="Arial" w:hAnsi="Arial"/>
          <w:sz w:val="22"/>
          <w:szCs w:val="22"/>
        </w:rPr>
        <w:t xml:space="preserve">FEAT is voluntary. There is no direct penalty for non-compliance. However, FEAT is widely treated as a supervisory expectation and is referenced in industry tooling, consortium guidance, and MAS-supported initiatives. Financial institutions should be prepared to explain their approach to FEAT during governance and supervisory conversations.</w:t>
      </w:r>
    </w:p>
    <w:p>
      <w:pPr>
        <w:spacing w:after="200" w:before="0" w:line="276"/>
      </w:pPr>
      <w:r>
        <w:rPr>
          <w:rFonts w:ascii="Arial" w:cs="Arial" w:eastAsia="Arial" w:hAnsi="Arial"/>
          <w:sz w:val="22"/>
          <w:szCs w:val="22"/>
        </w:rPr>
        <w:t xml:space="preserve">MAS has invested heavily in operationalising FEAT through the Veritas initiative — a consortium of major financial institutions and industry partners¹ that developed assessment methodologies, case studies, and an open-source toolkit (available on GitHub²). The Veritas consortium has published detailed whitepapers on fairness, ethics, accountability, and transparency assessment, along with case studies from participating institutions covering credit scoring, customer marketing, predictive underwriting, and fraud detection.</w:t>
      </w:r>
    </w:p>
    <w:p>
      <w:pPr>
        <w:spacing w:after="200" w:before="0" w:line="276"/>
      </w:pPr>
      <w:r>
        <w:rPr>
          <w:rFonts w:ascii="Arial" w:cs="Arial" w:eastAsia="Arial" w:hAnsi="Arial"/>
          <w:b/>
          <w:bCs/>
          <w:sz w:val="22"/>
          <w:szCs w:val="22"/>
        </w:rPr>
        <w:t xml:space="preserve">FEAT sits within a broader Singapore AI governance ecosystem: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Framework</w:t>
            </w:r>
          </w:p>
        </w:tc>
        <w:tc>
          <w:tcPr>
            <w:tcW w:type="dxa" w:w="61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Description</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FEAT Principles (MAS, 2018)⁴</w:t>
            </w:r>
          </w:p>
        </w:tc>
        <w:tc>
          <w:tcPr>
            <w:tcW w:type="dxa" w:w="6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Sector-specific guidance for financial services AIDA systems.</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Veritas Toolkit v2.0 (MAS-led consortium, 2023)¹ ²</w:t>
            </w:r>
          </w:p>
        </w:tc>
        <w:tc>
          <w:tcPr>
            <w:tcW w:type="dxa" w:w="6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Open-source assessment tool on GitHub implementing FEAT methodology across all four principles.</w:t>
            </w:r>
          </w:p>
        </w:tc>
      </w:tr>
      <w:tr>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AI Governance Framework (PDPC/IMDA)⁵</w:t>
            </w:r>
          </w:p>
        </w:tc>
        <w:tc>
          <w:tcPr>
            <w:tcW w:type="dxa" w:w="6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Cross-sector governance guidance for any organisation deploying AI.</w:t>
            </w:r>
          </w:p>
        </w:tc>
      </w:tr>
      <w:tr>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AI Verify (IMDA)⁶</w:t>
            </w:r>
          </w:p>
        </w:tc>
        <w:tc>
          <w:tcPr>
            <w:tcW w:type="dxa" w:w="6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A testing framework and software toolkit for AI systems, applicable across industries.</w:t>
            </w:r>
          </w:p>
        </w:tc>
      </w:tr>
    </w:tbl>
    <w:p>
      <w:pPr>
        <w:spacing w:after="200" w:before="200" w:line="276"/>
      </w:pPr>
      <w:r>
        <w:rPr>
          <w:rFonts w:ascii="Arial" w:cs="Arial" w:eastAsia="Arial" w:hAnsi="Arial"/>
          <w:sz w:val="22"/>
          <w:szCs w:val="22"/>
        </w:rPr>
        <w:t xml:space="preserve">For financial institutions, FEAT is the primary reference. For non-financial firms operating in Singapore, the PDPC Model Framework and AI Verify are the starting points.</w:t>
      </w:r>
    </w:p>
    <w:p>
      <w:r>
        <w:br w:type="page"/>
      </w:r>
    </w:p>
    <w:p>
      <w:pPr>
        <w:pStyle w:val="Heading1"/>
        <w:spacing w:before="360" w:after="200"/>
      </w:pPr>
      <w:r>
        <w:t xml:space="preserve">2. The 12 Principles in Plain English</w:t>
      </w:r>
    </w:p>
    <w:p>
      <w:pPr>
        <w:spacing w:after="200" w:before="0" w:line="276"/>
      </w:pPr>
      <w:r>
        <w:rPr>
          <w:rFonts w:ascii="Arial" w:cs="Arial" w:eastAsia="Arial" w:hAnsi="Arial"/>
          <w:sz w:val="22"/>
          <w:szCs w:val="22"/>
        </w:rPr>
        <w:t xml:space="preserve">FEAT contains 12 principles organised into four categories. The MAS documents describe these in regulatory language. Here is what each principle actually asks you to do.</w:t>
      </w:r>
    </w:p>
    <w:p>
      <w:pPr>
        <w:pStyle w:val="Heading2"/>
        <w:spacing w:before="240" w:after="200"/>
      </w:pPr>
      <w:r>
        <w:t xml:space="preserve">2.1 Fairness (Principles 1–4)</w:t>
      </w:r>
    </w:p>
    <w:p>
      <w:pPr>
        <w:spacing w:after="200" w:before="0" w:line="276"/>
      </w:pPr>
      <w:r>
        <w:rPr>
          <w:rFonts w:ascii="Arial" w:cs="Arial" w:eastAsia="Arial" w:hAnsi="Arial"/>
          <w:sz w:val="22"/>
          <w:szCs w:val="22"/>
        </w:rPr>
        <w:t xml:space="preserve">Fairness has two dimensions: </w:t>
      </w:r>
      <w:r>
        <w:rPr>
          <w:rFonts w:ascii="Arial" w:cs="Arial" w:eastAsia="Arial" w:hAnsi="Arial"/>
          <w:b/>
          <w:bCs/>
          <w:sz w:val="22"/>
          <w:szCs w:val="22"/>
        </w:rPr>
        <w:t xml:space="preserve">justifiability</w:t>
      </w:r>
      <w:r>
        <w:rPr>
          <w:rFonts w:ascii="Arial" w:cs="Arial" w:eastAsia="Arial" w:hAnsi="Arial"/>
          <w:sz w:val="22"/>
          <w:szCs w:val="22"/>
        </w:rPr>
        <w:t xml:space="preserve"> (are you using the right inputs?) and </w:t>
      </w:r>
      <w:r>
        <w:rPr>
          <w:rFonts w:ascii="Arial" w:cs="Arial" w:eastAsia="Arial" w:hAnsi="Arial"/>
          <w:b/>
          <w:bCs/>
          <w:sz w:val="22"/>
          <w:szCs w:val="22"/>
        </w:rPr>
        <w:t xml:space="preserve">accuracy</w:t>
      </w:r>
      <w:r>
        <w:rPr>
          <w:rFonts w:ascii="Arial" w:cs="Arial" w:eastAsia="Arial" w:hAnsi="Arial"/>
          <w:sz w:val="22"/>
          <w:szCs w:val="22"/>
        </w:rPr>
        <w:t xml:space="preserve"> (is the model performing equitably?).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5660"/>
      </w:tblGrid>
      <w:tr>
        <w:tc>
          <w:tcPr>
            <w:tcW w:type="dxa" w:w="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MAS Principle</w:t>
            </w:r>
          </w:p>
        </w:tc>
        <w:tc>
          <w:tcPr>
            <w:tcW w:type="dxa" w:w="5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What It Means in Practice</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1</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Individuals or groups are not systematically disadvantaged unless decisions can be justified</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If your model produces different outcomes for different demographic groups, you must be able to explain why — and the explanation must be legitimate (e.g., genuine risk differences), not circular (e.g., “the model learned it from data”).</w:t>
            </w:r>
          </w:p>
        </w:tc>
      </w:tr>
      <w:tr>
        <w:tc>
          <w:tcPr>
            <w:tcW w:type="dxa" w:w="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bCs/>
                <w:sz w:val="18"/>
                <w:szCs w:val="18"/>
              </w:rPr>
              <w:t xml:space="preserve">2</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Use of personal attributes as input factors is justified</w:t>
            </w:r>
          </w:p>
        </w:tc>
        <w:tc>
          <w:tcPr>
            <w:tcW w:type="dxa" w:w="5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If your model uses age, gender, marital status, or other personal attributes — directly or potentially as proxies — you need a documented business justification for each one. Performance lift alone is usually not a complete justification; document necessity, alternatives considered, proxy risk, and stakeholder approval.</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3</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Data and models are regularly reviewed and validated for accuracy, and to minimise unintentional bias</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You must test your model’s outputs across demographic groups on a regular basis. This is where adverse impact analysis, fairness metrics, and bias testing come in.</w:t>
            </w:r>
          </w:p>
        </w:tc>
      </w:tr>
      <w:tr>
        <w:tc>
          <w:tcPr>
            <w:tcW w:type="dxa" w:w="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bCs/>
                <w:sz w:val="18"/>
                <w:szCs w:val="18"/>
              </w:rPr>
              <w:t xml:space="preserve">4</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AIDA-driven decisions are regularly reviewed to assess whether they have a systematically discriminatory impact</w:t>
            </w:r>
          </w:p>
        </w:tc>
        <w:tc>
          <w:tcPr>
            <w:tcW w:type="dxa" w:w="5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This is the outcome-level check. Even if your model inputs are justified and your model is technically fair, you still need to monitor whether real-world decisions produce discriminatory patterns.</w:t>
            </w:r>
          </w:p>
        </w:tc>
      </w:tr>
    </w:tbl>
    <w:p>
      <w:pPr>
        <w:pStyle w:val="Heading2"/>
        <w:spacing w:before="240" w:after="200"/>
      </w:pPr>
      <w:r>
        <w:t xml:space="preserve">2.2 Ethics (Principles 5–6)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5660"/>
      </w:tblGrid>
      <w:tr>
        <w:tc>
          <w:tcPr>
            <w:tcW w:type="dxa" w:w="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MAS Principle</w:t>
            </w:r>
          </w:p>
        </w:tc>
        <w:tc>
          <w:tcPr>
            <w:tcW w:type="dxa" w:w="5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What It Means in Practice</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5</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Use of AIDA is aligned with the firm’s ethical standards</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Your AI governance framework should be rooted in your existing ethics policies — not bolted on as a separate compliance exercise.</w:t>
            </w:r>
          </w:p>
        </w:tc>
      </w:tr>
      <w:tr>
        <w:tc>
          <w:tcPr>
            <w:tcW w:type="dxa" w:w="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bCs/>
                <w:sz w:val="18"/>
                <w:szCs w:val="18"/>
              </w:rPr>
              <w:t xml:space="preserve">6</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AIDA-driven decisions are held to at least the same ethical standards as human-driven decisions</w:t>
            </w:r>
          </w:p>
        </w:tc>
        <w:tc>
          <w:tcPr>
            <w:tcW w:type="dxa" w:w="5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You cannot accept from an algorithm what you would not accept from a human underwriter or credit analyst. If a human producing the same pattern of outcomes would trigger an investigation, so should the model.</w:t>
            </w:r>
          </w:p>
        </w:tc>
      </w:tr>
    </w:tbl>
    <w:p>
      <w:pPr>
        <w:pStyle w:val="Heading2"/>
        <w:spacing w:before="240" w:after="200"/>
      </w:pPr>
      <w:r>
        <w:t xml:space="preserve">2.3 Accountability (Principles 7–11)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5660"/>
      </w:tblGrid>
      <w:tr>
        <w:tc>
          <w:tcPr>
            <w:tcW w:type="dxa" w:w="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MAS Principle</w:t>
            </w:r>
          </w:p>
        </w:tc>
        <w:tc>
          <w:tcPr>
            <w:tcW w:type="dxa" w:w="5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What It Means in Practice</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7</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Use of AIDA is approved by appropriate internal authority</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Someone senior — not just the data science team — must sign off on deploying an AIDA system. This typically means a model risk committee, CRO, or board-level AI governance body.</w:t>
            </w:r>
          </w:p>
        </w:tc>
      </w:tr>
      <w:tr>
        <w:tc>
          <w:tcPr>
            <w:tcW w:type="dxa" w:w="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bCs/>
                <w:sz w:val="18"/>
                <w:szCs w:val="18"/>
              </w:rPr>
              <w:t xml:space="preserve">8</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Firms are accountable for both internally developed and externally sourced models</w:t>
            </w:r>
          </w:p>
        </w:tc>
        <w:tc>
          <w:tcPr>
            <w:tcW w:type="dxa" w:w="5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You cannot outsource accountability. If you buy a vendor’s credit scoring model, you are still responsible for its fairness.</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9</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Firms proactively raise management and Board awareness of AIDA use</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The board should know which critical decisions are being made or assisted by AI systems.</w:t>
            </w:r>
          </w:p>
        </w:tc>
      </w:tr>
      <w:tr>
        <w:tc>
          <w:tcPr>
            <w:tcW w:type="dxa" w:w="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bCs/>
                <w:sz w:val="18"/>
                <w:szCs w:val="18"/>
              </w:rPr>
              <w:t xml:space="preserve">10</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Data subjects have channels to enquire, appeal, and request reviews</w:t>
            </w:r>
          </w:p>
        </w:tc>
        <w:tc>
          <w:tcPr>
            <w:tcW w:type="dxa" w:w="56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r>
              <w:rPr>
                <w:rFonts w:ascii="Arial" w:cs="Arial" w:eastAsia="Arial" w:hAnsi="Arial"/>
                <w:b w:val="false"/>
                <w:bCs w:val="false"/>
                <w:sz w:val="17"/>
                <w:szCs w:val="17"/>
              </w:rPr>
              <w:t xml:space="preserve">Customers must have a way to challenge an AI-driven decision. This means a real process, not a generic complaints email.</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11</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Verified supplementary data from data subjects is considered when reviewing decisions</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If a customer provides additional information that the model did not have, the review process must consider it.</w:t>
            </w:r>
          </w:p>
        </w:tc>
      </w:tr>
    </w:tbl>
    <w:p>
      <w:pPr>
        <w:pStyle w:val="Heading2"/>
        <w:spacing w:before="240" w:after="200"/>
      </w:pPr>
      <w:r>
        <w:t xml:space="preserve">2.4 Transparency (Principle 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5660"/>
      </w:tblGrid>
      <w:tr>
        <w:tc>
          <w:tcPr>
            <w:tcW w:type="dxa" w:w="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MAS Principle</w:t>
            </w:r>
          </w:p>
        </w:tc>
        <w:tc>
          <w:tcPr>
            <w:tcW w:type="dxa" w:w="56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tcPr>
          <w:p>
            <w:r>
              <w:rPr>
                <w:rFonts w:ascii="Arial" w:cs="Arial" w:eastAsia="Arial" w:hAnsi="Arial"/>
                <w:b/>
                <w:bCs/>
                <w:color w:val="FFFFFF"/>
                <w:sz w:val="18"/>
                <w:szCs w:val="18"/>
              </w:rPr>
              <w:t xml:space="preserve">What It Means in Practice</w:t>
            </w:r>
          </w:p>
        </w:tc>
      </w:tr>
      <w:tr>
        <w:tc>
          <w:tcPr>
            <w:tcW w:type="dxa" w:w="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bCs/>
                <w:sz w:val="18"/>
                <w:szCs w:val="18"/>
              </w:rPr>
              <w:t xml:space="preserve">12</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Use of AIDA is proactively disclosed to data subjects</w:t>
            </w:r>
          </w:p>
        </w:tc>
        <w:tc>
          <w:tcPr>
            <w:tcW w:type="dxa" w:w="56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r>
              <w:rPr>
                <w:rFonts w:ascii="Arial" w:cs="Arial" w:eastAsia="Arial" w:hAnsi="Arial"/>
                <w:b w:val="false"/>
                <w:bCs w:val="false"/>
                <w:sz w:val="17"/>
                <w:szCs w:val="17"/>
              </w:rPr>
              <w:t xml:space="preserve">Customers should know when AI is involved in decisions that affect them. Disclosures should be understandable and meaningful: the categories of data considered, the nature of the decision impact, and how to appeal or request review — subject to legal, security, and intellectual property constraints.</w:t>
            </w:r>
          </w:p>
        </w:tc>
      </w:tr>
    </w:tbl>
    <w:p>
      <w:r>
        <w:br w:type="page"/>
      </w:r>
    </w:p>
    <w:p>
      <w:pPr>
        <w:pStyle w:val="Heading1"/>
        <w:spacing w:before="360" w:after="200"/>
      </w:pPr>
      <w:r>
        <w:t xml:space="preserve">3. The Testing Recipe: What a Fairness Assessment Actually Looks Like</w:t>
      </w:r>
    </w:p>
    <w:p>
      <w:pPr>
        <w:spacing w:after="200" w:before="0" w:line="276"/>
      </w:pPr>
      <w:r>
        <w:rPr>
          <w:rFonts w:ascii="Arial" w:cs="Arial" w:eastAsia="Arial" w:hAnsi="Arial"/>
          <w:sz w:val="22"/>
          <w:szCs w:val="22"/>
        </w:rPr>
        <w:t xml:space="preserve">This is the part that most guides skip. Here is what you need, what you produce, and what red flags look like.</w:t>
      </w:r>
    </w:p>
    <w:p>
      <w:pPr>
        <w:pStyle w:val="Heading2"/>
        <w:spacing w:before="240" w:after="200"/>
      </w:pPr>
      <w:r>
        <w:t xml:space="preserve">3.1 What Data You Need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5560"/>
      </w:tblGrid>
      <w:t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Data Element</w:t>
            </w:r>
          </w:p>
        </w:tc>
        <w:tc>
          <w:tcPr>
            <w:tcW w:type="dxa" w:w="1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Importance</w:t>
            </w:r>
          </w:p>
        </w:tc>
        <w:tc>
          <w:tcPr>
            <w:tcW w:type="dxa" w:w="55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Notes</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inputs (features)</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Required</w:t>
            </w:r>
          </w:p>
        </w:tc>
        <w:tc>
          <w:tcPr>
            <w:tcW w:type="dxa" w:w="55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The full set of variables your model uses for prediction.</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Model outputs (scores, decisions)</w:t>
            </w:r>
          </w:p>
        </w:tc>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Required</w:t>
            </w:r>
          </w:p>
        </w:tc>
        <w:tc>
          <w:tcPr>
            <w:tcW w:type="dxa" w:w="55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The scores or classifications the model produces, and the final decisions made using those outputs.</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Protected/personal attributes</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Recommended; alternatives exist</w:t>
            </w:r>
          </w:p>
        </w:tc>
        <w:tc>
          <w:tcPr>
            <w:tcW w:type="dxa" w:w="55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Race, ethnicity, gender, age, or other attributes relevant to your jurisdiction. Used for testing, not as model inputs. If unavailable, testing can proceed on available attributes (see below).</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Ground truth outcomes</w:t>
            </w:r>
          </w:p>
        </w:tc>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Ideal</w:t>
            </w:r>
          </w:p>
        </w:tc>
        <w:tc>
          <w:tcPr>
            <w:tcW w:type="dxa" w:w="55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What actually happened — did the customer default? Was the claim fraudulent? Without ground truth, you can only measure disparate impact in decisions.</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Historical decision data</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Ideal</w:t>
            </w:r>
          </w:p>
        </w:tc>
        <w:tc>
          <w:tcPr>
            <w:tcW w:type="dxa" w:w="55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Enables trend analysis and detection of drift in fairness metrics over time.</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sz w:val="22"/>
          <w:szCs w:val="22"/>
        </w:rPr>
        <w:t xml:space="preserve">What if you don’t have protected attributes? </w:t>
      </w:r>
      <w:r>
        <w:rPr>
          <w:rFonts w:ascii="Arial" w:cs="Arial" w:eastAsia="Arial" w:hAnsi="Arial"/>
          <w:sz w:val="22"/>
          <w:szCs w:val="22"/>
        </w:rPr>
        <w:t xml:space="preserve">This is common, especially in Asia where race and ethnicity data is often not collected. Options include proxy inference (e.g., BISG methodology, which estimates race/ethnicity from surname and geography), synthetic data approaches, or testing on attributes you do have (age, gender, nationality). Testing on available attributes is a first-class approach — not a fallback — for what you can measure, and is often the most practical starting point for APAC institutions. Document what remains unobservable and the plan to improve coverage over time.</w:t>
      </w:r>
    </w:p>
    <w:p>
      <w:pPr>
        <w:spacing w:after="200" w:before="0" w:line="276"/>
      </w:pPr>
      <w:r>
        <w:rPr>
          <w:rFonts w:ascii="Arial" w:cs="Arial" w:eastAsia="Arial" w:hAnsi="Arial"/>
          <w:i/>
          <w:iCs/>
          <w:color w:val="546A8A"/>
          <w:sz w:val="22"/>
          <w:szCs w:val="22"/>
        </w:rPr>
        <w:t xml:space="preserve">Proxy inference methods such as BISG should be evaluated with legal counsel and privacy teams before use; in some jurisdictions, inferring protected class labels may be restricted even for monitoring purposes. If used, treat inferred labels as approximate and report error bounds and methodological limitations alongside any findings.</w:t>
      </w:r>
    </w:p>
    <w:p>
      <w:pPr>
        <w:pStyle w:val="Heading2"/>
        <w:spacing w:before="240" w:after="200"/>
      </w:pPr>
      <w:r>
        <w:t xml:space="preserve">3.2 What Tables You Produce</w:t>
      </w:r>
    </w:p>
    <w:p>
      <w:pPr>
        <w:spacing w:after="200" w:before="0" w:line="276"/>
      </w:pPr>
      <w:r>
        <w:rPr>
          <w:rFonts w:ascii="Arial" w:cs="Arial" w:eastAsia="Arial" w:hAnsi="Arial"/>
          <w:i/>
          <w:iCs/>
          <w:color w:val="546A8A"/>
          <w:sz w:val="20"/>
          <w:szCs w:val="20"/>
        </w:rPr>
        <w:t xml:space="preserve">The examples below are simplified illustrations of rate-based screening. Production lending assessments may also analyse marginal effects, matched pairs, and policy overlays depending on jurisdiction and examination practice.</w:t>
      </w:r>
    </w:p>
    <w:p>
      <w:pPr>
        <w:spacing w:after="200" w:before="0" w:line="276"/>
      </w:pPr>
      <w:r>
        <w:rPr>
          <w:rFonts w:ascii="Arial" w:cs="Arial" w:eastAsia="Arial" w:hAnsi="Arial"/>
          <w:b/>
          <w:bCs/>
          <w:sz w:val="22"/>
          <w:szCs w:val="22"/>
        </w:rPr>
        <w:t xml:space="preserve">1. Approval/Selection Rate Table by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360"/>
      </w:tblGrid>
      <w:tr>
        <w:tc>
          <w:tcPr>
            <w:tcW w:type="dxa" w:w="3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Group</w:t>
            </w:r>
          </w:p>
        </w:tc>
        <w:tc>
          <w:tcPr>
            <w:tcW w:type="dxa" w:w="2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Applications</w:t>
            </w:r>
          </w:p>
        </w:tc>
        <w:tc>
          <w:tcPr>
            <w:tcW w:type="dxa" w:w="2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Approved</w:t>
            </w:r>
          </w:p>
        </w:tc>
        <w:tc>
          <w:tcPr>
            <w:tcW w:type="dxa" w:w="2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Approval Rate</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Group A (reference)</w:t>
            </w:r>
          </w:p>
        </w:tc>
        <w:tc>
          <w:tcPr>
            <w:tcW w:type="dxa" w:w="2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10,000</w:t>
            </w:r>
          </w:p>
        </w:tc>
        <w:tc>
          <w:tcPr>
            <w:tcW w:type="dxa" w:w="2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7,500</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75.0%</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Group B</w:t>
            </w:r>
          </w:p>
        </w:tc>
        <w:tc>
          <w:tcPr>
            <w:tcW w:type="dxa" w:w="2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3,000</w:t>
            </w:r>
          </w:p>
        </w:tc>
        <w:tc>
          <w:tcPr>
            <w:tcW w:type="dxa" w:w="2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2,100</w:t>
            </w:r>
          </w:p>
        </w:tc>
        <w:tc>
          <w:tcPr>
            <w:tcW w:type="dxa" w:w="2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70.0%</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Group C</w:t>
            </w:r>
          </w:p>
        </w:tc>
        <w:tc>
          <w:tcPr>
            <w:tcW w:type="dxa" w:w="2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1,500</w:t>
            </w:r>
          </w:p>
        </w:tc>
        <w:tc>
          <w:tcPr>
            <w:tcW w:type="dxa" w:w="2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900</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60.0%</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sz w:val="22"/>
          <w:szCs w:val="22"/>
        </w:rPr>
        <w:t xml:space="preserve">2. Impact Ratio (Adverse Impact)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600"/>
        <w:gridCol w:w="1800"/>
        <w:gridCol w:w="2560"/>
      </w:tblGrid>
      <w:tr>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Group</w:t>
            </w:r>
          </w:p>
        </w:tc>
        <w:tc>
          <w:tcPr>
            <w:tcW w:type="dxa" w:w="1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Approval Rate</w:t>
            </w:r>
          </w:p>
        </w:tc>
        <w:tc>
          <w:tcPr>
            <w:tcW w:type="dxa" w:w="1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Impact Ratio</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Four-Fifths Flag</w:t>
            </w:r>
          </w:p>
        </w:tc>
        <w:tc>
          <w:tcPr>
            <w:tcW w:type="dxa" w:w="25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Statistical Test</w:t>
            </w:r>
          </w:p>
        </w:tc>
      </w:tr>
      <w:tr>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Group A (ref)</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75.0%</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1.000</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w:t>
            </w:r>
          </w:p>
        </w:tc>
        <w:tc>
          <w:tcPr>
            <w:tcW w:type="dxa" w:w="25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w:t>
            </w:r>
          </w:p>
        </w:tc>
      </w:tr>
      <w:tr>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Group B</w:t>
            </w:r>
          </w:p>
        </w:tc>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70.0%</w:t>
            </w:r>
          </w:p>
        </w:tc>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0.933</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Pass</w:t>
            </w:r>
          </w:p>
        </w:tc>
        <w:tc>
          <w:tcPr>
            <w:tcW w:type="dxa" w:w="25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 = 0.04</w:t>
            </w:r>
          </w:p>
        </w:tc>
      </w:tr>
      <w:tr>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Group C</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60.0%</w:t>
            </w:r>
          </w:p>
        </w:tc>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0.800</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Borderline</w:t>
            </w:r>
          </w:p>
        </w:tc>
        <w:tc>
          <w:tcPr>
            <w:tcW w:type="dxa" w:w="25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p &lt; 0.001</w:t>
            </w:r>
          </w:p>
        </w:tc>
      </w:tr>
    </w:tbl>
    <w:p>
      <w:pPr>
        <w:spacing w:after="200" w:before="0" w:line="276"/>
      </w:pPr>
      <w:r>
        <w:rPr>
          <w:rFonts w:ascii="Arial" w:cs="Arial" w:eastAsia="Arial" w:hAnsi="Arial"/>
          <w:i/>
          <w:iCs/>
          <w:color w:val="546A8A"/>
          <w:sz w:val="20"/>
          <w:szCs w:val="20"/>
        </w:rPr>
        <w:t xml:space="preserve">In practice: apply multiple-comparison corrections (e.g., Bonferroni, Benjamini-Hochberg) where testing multiple groups or intersections simultaneously. Report confidence intervals alongside p-values to convey effect size and precision, not just significance.</w:t>
      </w:r>
    </w:p>
    <w:p>
      <w:pPr>
        <w:spacing w:after="200" w:before="0" w:line="276"/>
      </w:pPr>
      <w:r>
        <w:rPr>
          <w:rFonts w:ascii="Arial" w:cs="Arial" w:eastAsia="Arial" w:hAnsi="Arial"/>
          <w:b/>
          <w:bCs/>
          <w:sz w:val="22"/>
          <w:szCs w:val="22"/>
        </w:rPr>
        <w:t xml:space="preserve">3. Intersectional Breakdown</w:t>
      </w:r>
    </w:p>
    <w:p>
      <w:pPr>
        <w:spacing w:after="200" w:before="0" w:line="276"/>
      </w:pPr>
      <w:r>
        <w:rPr>
          <w:rFonts w:ascii="Arial" w:cs="Arial" w:eastAsia="Arial" w:hAnsi="Arial"/>
          <w:sz w:val="22"/>
          <w:szCs w:val="22"/>
        </w:rPr>
        <w:t xml:space="preserve">Test combinations of protected attributes (e.g., gender × age band, ethnicity × gender). Intersectional disparities are often invisible in single-attribute analysis.</w:t>
      </w:r>
    </w:p>
    <w:p>
      <w:pPr>
        <w:pStyle w:val="Heading2"/>
        <w:spacing w:before="240" w:after="200"/>
      </w:pPr>
      <w:r>
        <w:t xml:space="preserve">3.3 What Red Flags Look Like</w:t>
      </w:r>
    </w:p>
    <w:p>
      <w:pPr>
        <w:spacing w:after="200" w:before="0" w:line="276"/>
      </w:pPr>
      <w:r>
        <w:rPr>
          <w:rFonts w:ascii="Arial" w:cs="Arial" w:eastAsia="Arial" w:hAnsi="Arial"/>
          <w:b/>
          <w:bCs/>
          <w:sz w:val="22"/>
          <w:szCs w:val="22"/>
        </w:rPr>
        <w:t xml:space="preserve">Impact Ratio below 0.80: </w:t>
      </w:r>
      <w:r>
        <w:rPr>
          <w:rFonts w:ascii="Arial" w:cs="Arial" w:eastAsia="Arial" w:hAnsi="Arial"/>
          <w:sz w:val="22"/>
          <w:szCs w:val="22"/>
        </w:rPr>
        <w:t xml:space="preserve">The four-fifths rule flags groups whose selection rate is less than 80% of the reference group’s rate. This is a screening heuristic — a flag, not a verdict. It indicates that further investigation is warranted.</w:t>
      </w:r>
    </w:p>
    <w:p>
      <w:pPr>
        <w:spacing w:after="200" w:before="0" w:line="276"/>
      </w:pPr>
      <w:r>
        <w:rPr>
          <w:rFonts w:ascii="Arial" w:cs="Arial" w:eastAsia="Arial" w:hAnsi="Arial"/>
          <w:b/>
          <w:bCs/>
          <w:sz w:val="22"/>
          <w:szCs w:val="22"/>
        </w:rPr>
        <w:t xml:space="preserve">Statistically significant difference in rates: </w:t>
      </w:r>
      <w:r>
        <w:rPr>
          <w:rFonts w:ascii="Arial" w:cs="Arial" w:eastAsia="Arial" w:hAnsi="Arial"/>
          <w:sz w:val="22"/>
          <w:szCs w:val="22"/>
        </w:rPr>
        <w:t xml:space="preserve">A low IR with a wide confidence interval (small sample) is less actionable than a low IR with a narrow interval (large sample). Always pair the four-fifths screen with a significance test.</w:t>
      </w:r>
    </w:p>
    <w:p>
      <w:pPr>
        <w:spacing w:after="200" w:before="0" w:line="276"/>
      </w:pPr>
      <w:r>
        <w:rPr>
          <w:rFonts w:ascii="Arial" w:cs="Arial" w:eastAsia="Arial" w:hAnsi="Arial"/>
          <w:b/>
          <w:bCs/>
          <w:sz w:val="22"/>
          <w:szCs w:val="22"/>
        </w:rPr>
        <w:t xml:space="preserve">Intersectional failures hidden by single-attribute passes: </w:t>
      </w:r>
      <w:r>
        <w:rPr>
          <w:rFonts w:ascii="Arial" w:cs="Arial" w:eastAsia="Arial" w:hAnsi="Arial"/>
          <w:sz w:val="22"/>
          <w:szCs w:val="22"/>
        </w:rPr>
        <w:t xml:space="preserve">A group may pass on race and pass on gender, but fail at the intersection. This is why intersectional testing matters.</w:t>
      </w:r>
    </w:p>
    <w:p>
      <w:pPr>
        <w:spacing w:after="200" w:before="0" w:line="276"/>
      </w:pPr>
      <w:r>
        <w:rPr>
          <w:rFonts w:ascii="Arial" w:cs="Arial" w:eastAsia="Arial" w:hAnsi="Arial"/>
          <w:b/>
          <w:bCs/>
          <w:sz w:val="22"/>
          <w:szCs w:val="22"/>
        </w:rPr>
        <w:t xml:space="preserve">Denial reason disparities: </w:t>
      </w:r>
      <w:r>
        <w:rPr>
          <w:rFonts w:ascii="Arial" w:cs="Arial" w:eastAsia="Arial" w:hAnsi="Arial"/>
          <w:sz w:val="22"/>
          <w:szCs w:val="22"/>
        </w:rPr>
        <w:t xml:space="preserve">Different groups being denied for different reasons (e.g., one group disproportionately denied for “incomplete application”) can indicate process-level bias, not just model-level bias.</w:t>
      </w:r>
    </w:p>
    <w:p>
      <w:pPr>
        <w:spacing w:after="200" w:before="0" w:line="276"/>
      </w:pPr>
      <w:r>
        <w:rPr>
          <w:rFonts w:ascii="Arial" w:cs="Arial" w:eastAsia="Arial" w:hAnsi="Arial"/>
          <w:b/>
          <w:bCs/>
          <w:sz w:val="22"/>
          <w:szCs w:val="22"/>
        </w:rPr>
        <w:t xml:space="preserve">Model accuracy disparities: </w:t>
      </w:r>
      <w:r>
        <w:rPr>
          <w:rFonts w:ascii="Arial" w:cs="Arial" w:eastAsia="Arial" w:hAnsi="Arial"/>
          <w:sz w:val="22"/>
          <w:szCs w:val="22"/>
        </w:rPr>
        <w:t xml:space="preserve">If your model’s false positive or false negative rate varies significantly across groups, the model is less reliable for some populations — even if the overall accuracy looks fine.</w:t>
      </w:r>
    </w:p>
    <w:p>
      <w:pPr>
        <w:pBdr>
          <w:left w:val="single" w:color="1565C0" w:sz="12" w:space="8"/>
        </w:pBdr>
        <w:spacing w:after="200" w:before="100"/>
        <w:ind w:left="360" w:right="360"/>
      </w:pPr>
      <w:r>
        <w:rPr>
          <w:rFonts w:ascii="Arial" w:cs="Arial" w:eastAsia="Arial" w:hAnsi="Arial"/>
          <w:i/>
          <w:iCs/>
          <w:color w:val="0C1F3F"/>
          <w:sz w:val="20"/>
          <w:szCs w:val="20"/>
        </w:rPr>
        <w:t xml:space="preserve">Important context for financial services: The four-fifths rule originates from US employment law (EEOC Uniform Guidelines). In fair lending, the legal frameworks are different — the Equal Credit Opportunity Act, Fair Housing Act, and regulatory examination procedures use related but distinct analytical approaches. The four-fifths rule is widely used as an initial screen in fair lending analysis, but it is not a statutory threshold. The screen identifies where to look; the investigation determines what you find.</w:t>
      </w:r>
    </w:p>
    <w:p>
      <w:pPr>
        <w:pBdr>
          <w:left w:val="single" w:color="1565C0" w:sz="12" w:space="8"/>
        </w:pBdr>
        <w:spacing w:after="200" w:before="100"/>
        <w:ind w:left="360" w:right="360"/>
      </w:pPr>
      <w:r>
        <w:rPr>
          <w:rFonts w:ascii="Arial" w:cs="Arial" w:eastAsia="Arial" w:hAnsi="Arial"/>
          <w:i/>
          <w:iCs/>
          <w:color w:val="0C1F3F"/>
          <w:sz w:val="20"/>
          <w:szCs w:val="20"/>
        </w:rPr>
        <w:t xml:space="preserve">What you would do differently in a production audit: The testing recipe above uses approval/denial rates on a public dataset. In a production FEAT assessment, you would also have access to model internals (feature importances, SHAP values), credit scores, full DTI calculations, and the ability to run counterfactual analysis. These tools enable root-cause analysis that public-data audits cannot.</w:t>
      </w:r>
    </w:p>
    <w:p>
      <w:r>
        <w:br w:type="page"/>
      </w:r>
    </w:p>
    <w:p>
      <w:pPr>
        <w:pStyle w:val="Heading1"/>
        <w:spacing w:before="360" w:after="200"/>
      </w:pPr>
      <w:r>
        <w:t xml:space="preserve">4. Limits of This Approach</w:t>
      </w:r>
    </w:p>
    <w:p>
      <w:pPr>
        <w:spacing w:after="200" w:before="0" w:line="276"/>
      </w:pPr>
      <w:r>
        <w:rPr>
          <w:rFonts w:ascii="Arial" w:cs="Arial" w:eastAsia="Arial" w:hAnsi="Arial"/>
          <w:sz w:val="22"/>
          <w:szCs w:val="22"/>
        </w:rPr>
        <w:t xml:space="preserve">Every fairness assessment has boundaries. Being explicit about them is part of the methodology.</w:t>
      </w:r>
    </w:p>
    <w:p>
      <w:pPr>
        <w:spacing w:after="200" w:before="0" w:line="276"/>
      </w:pPr>
      <w:r>
        <w:rPr>
          <w:rFonts w:ascii="Arial" w:cs="Arial" w:eastAsia="Arial" w:hAnsi="Arial"/>
          <w:b/>
          <w:bCs/>
          <w:sz w:val="22"/>
          <w:szCs w:val="22"/>
        </w:rPr>
        <w:t xml:space="preserve">Public data misses underwriting variables. </w:t>
      </w:r>
      <w:r>
        <w:rPr>
          <w:rFonts w:ascii="Arial" w:cs="Arial" w:eastAsia="Arial" w:hAnsi="Arial"/>
          <w:sz w:val="22"/>
          <w:szCs w:val="22"/>
        </w:rPr>
        <w:t xml:space="preserve">Datasets like HMDA do not include credit scores, complete debt-to-income calculations, or employment verification details. Observed disparities in approval rates may be partially or fully explained by these factors. A production assessment with access to the full feature set is always more informative.</w:t>
      </w:r>
    </w:p>
    <w:p>
      <w:pPr>
        <w:spacing w:after="200" w:before="0" w:line="276"/>
      </w:pPr>
      <w:r>
        <w:rPr>
          <w:rFonts w:ascii="Arial" w:cs="Arial" w:eastAsia="Arial" w:hAnsi="Arial"/>
          <w:b/>
          <w:bCs/>
          <w:sz w:val="22"/>
          <w:szCs w:val="22"/>
        </w:rPr>
        <w:t xml:space="preserve">Proxy detection is imperfect. </w:t>
      </w:r>
      <w:r>
        <w:rPr>
          <w:rFonts w:ascii="Arial" w:cs="Arial" w:eastAsia="Arial" w:hAnsi="Arial"/>
          <w:sz w:val="22"/>
          <w:szCs w:val="22"/>
        </w:rPr>
        <w:t xml:space="preserve">Even when protected attributes are not model inputs, other variables (zip code, education level, occupation) can serve as proxies. Detecting and quantifying proxy effects requires access to model internals and causal analysis techniques that external audits may not support.</w:t>
      </w:r>
    </w:p>
    <w:p>
      <w:pPr>
        <w:spacing w:after="200" w:before="0" w:line="276"/>
      </w:pPr>
      <w:r>
        <w:rPr>
          <w:rFonts w:ascii="Arial" w:cs="Arial" w:eastAsia="Arial" w:hAnsi="Arial"/>
          <w:b/>
          <w:bCs/>
          <w:sz w:val="22"/>
          <w:szCs w:val="22"/>
        </w:rPr>
        <w:t xml:space="preserve">Small samples limit precision. </w:t>
      </w:r>
      <w:r>
        <w:rPr>
          <w:rFonts w:ascii="Arial" w:cs="Arial" w:eastAsia="Arial" w:hAnsi="Arial"/>
          <w:sz w:val="22"/>
          <w:szCs w:val="22"/>
        </w:rPr>
        <w:t xml:space="preserve">For smaller demographic groups, Impact Ratios are volatile and confidence intervals are wide. A finding of IR = 0.60 based on 68 applications is directionally concerning but imprecise. Statistical power analysis should guide which groups can be tested with confidence and which require data accumulation over multiple periods.</w:t>
      </w:r>
    </w:p>
    <w:p>
      <w:pPr>
        <w:spacing w:after="200" w:before="0" w:line="276"/>
      </w:pPr>
      <w:r>
        <w:rPr>
          <w:rFonts w:ascii="Arial" w:cs="Arial" w:eastAsia="Arial" w:hAnsi="Arial"/>
          <w:b/>
          <w:bCs/>
          <w:sz w:val="22"/>
          <w:szCs w:val="22"/>
        </w:rPr>
        <w:t xml:space="preserve">Intersectional sparsity is real. </w:t>
      </w:r>
      <w:r>
        <w:rPr>
          <w:rFonts w:ascii="Arial" w:cs="Arial" w:eastAsia="Arial" w:hAnsi="Arial"/>
          <w:sz w:val="22"/>
          <w:szCs w:val="22"/>
        </w:rPr>
        <w:t xml:space="preserve">As you slice data into finer intersections (e.g., race × gender × age band), sample sizes shrink rapidly. At some point, the data cannot support reliable inference. Responsible practice is to report what can be reliably measured and to be transparent about what cannot.</w:t>
      </w:r>
    </w:p>
    <w:p>
      <w:r>
        <w:br w:type="page"/>
      </w:r>
    </w:p>
    <w:p>
      <w:pPr>
        <w:pStyle w:val="Heading1"/>
        <w:spacing w:before="360" w:after="200"/>
      </w:pPr>
      <w:r>
        <w:t xml:space="preserve">5. How FEAT Compares to Other Frameworks</w:t>
      </w:r>
    </w:p>
    <w:p>
      <w:pPr>
        <w:spacing w:after="200" w:before="0" w:line="276"/>
      </w:pPr>
      <w:r>
        <w:rPr>
          <w:rFonts w:ascii="Arial" w:cs="Arial" w:eastAsia="Arial" w:hAnsi="Arial"/>
          <w:sz w:val="22"/>
          <w:szCs w:val="22"/>
        </w:rPr>
        <w:t xml:space="preserve">Most comparison tables are too abstract to be useful. This one focuses on what practitioners actually need to know: what gets audited, what evidence you need, and who in your organisation is the buyer.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800"/>
        <w:gridCol w:w="1700"/>
        <w:gridCol w:w="1760"/>
        <w:gridCol w:w="2800"/>
      </w:tblGrid>
      <w:tr>
        <w:tc>
          <w:tcPr>
            <w:tcW w:type="dxa" w:w="13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Dimension</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MAS FEAT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NYC LL144</w:t>
            </w:r>
          </w:p>
        </w:tc>
        <w:tc>
          <w:tcPr>
            <w:tcW w:type="dxa" w:w="17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NIST AI RMF</w:t>
            </w:r>
          </w:p>
        </w:tc>
        <w:tc>
          <w:tcPr>
            <w:tcW w:type="dxa" w:w="2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EU AI Act</w:t>
            </w:r>
          </w:p>
        </w:tc>
      </w:tr>
      <w:tr>
        <w:tc>
          <w:tcPr>
            <w:tcW w:type="dxa" w:w="13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Scope</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Financial services AIDA systems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Automated employment decision tools in NYC</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All AI systems (voluntary)</w:t>
            </w:r>
          </w:p>
        </w:tc>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AI systems by risk category (mandatory for high-risk)</w:t>
            </w:r>
          </w:p>
        </w:tc>
      </w:tr>
      <w:tr>
        <w:tc>
          <w:tcPr>
            <w:tcW w:type="dxa" w:w="13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Status</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Voluntary (supervisory expectation)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Mandatory (in effect since July 2023)</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Voluntary</w:t>
            </w:r>
          </w:p>
        </w:tc>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Mandatory (phased enforcement)</w:t>
            </w:r>
          </w:p>
        </w:tc>
      </w:tr>
      <w:tr>
        <w:tc>
          <w:tcPr>
            <w:tcW w:type="dxa" w:w="13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What gets audited</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End-to-end AIDA system (design, data, model, deployment, monitoring)</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outputs only (selection rates by demographic group)</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Organisation’s AI risk management practices</w:t>
            </w:r>
          </w:p>
        </w:tc>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AI system + conformity assessment (varies by risk tier)</w:t>
            </w:r>
          </w:p>
        </w:tc>
      </w:tr>
      <w:tr>
        <w:tc>
          <w:tcPr>
            <w:tcW w:type="dxa" w:w="13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Required evidence</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Fairness assessment docs, model cards, governance sign-offs, monitoring logs, disclosures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Published bias audit summary, candidate notice</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AI RMF Profile, risk assessment docs, governance procedures</w:t>
            </w:r>
          </w:p>
        </w:tc>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Technical docs, conformity assessment, EU database registration, incident reporting</w:t>
            </w:r>
          </w:p>
        </w:tc>
      </w:tr>
      <w:tr>
        <w:tc>
          <w:tcPr>
            <w:tcW w:type="dxa" w:w="13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Key fairness metric</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Context-dependent (FI chooses with justification)</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Selection rate ratio (four-fifths rule)</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No prescribed metric (risk-based)</w:t>
            </w:r>
          </w:p>
        </w:tc>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No prescribed metric (proportionality-based)</w:t>
            </w:r>
          </w:p>
        </w:tc>
      </w:tr>
      <w:tr>
        <w:tc>
          <w:tcPr>
            <w:tcW w:type="dxa" w:w="13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Who the buyer is</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Model risk / CRO / Head of Data &amp; Analytics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HR / Legal / Employment counsel</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CTO / CISO / AI governance lead</w:t>
            </w:r>
          </w:p>
        </w:tc>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Compliance / Legal / Product</w:t>
            </w:r>
          </w:p>
        </w:tc>
      </w:tr>
      <w:tr>
        <w:tc>
          <w:tcPr>
            <w:tcW w:type="dxa" w:w="13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Audit frequency</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Ongoing monitoring recommended</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Annual (mandatory)</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Continuous (recommended)</w:t>
            </w:r>
          </w:p>
        </w:tc>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Ongoing (mandatory for high-risk)</w:t>
            </w:r>
          </w:p>
        </w:tc>
      </w:tr>
      <w:tr>
        <w:tc>
          <w:tcPr>
            <w:tcW w:type="dxa" w:w="13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Penalties</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Supervisory scrutiny (no direct fine)</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$375–$1,500 per violation per day</w:t>
            </w:r>
          </w:p>
        </w:tc>
        <w:tc>
          <w:tcPr>
            <w:tcW w:type="dxa" w:w="17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None (voluntary)</w:t>
            </w:r>
          </w:p>
        </w:tc>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Significant administrative fines (verify current thresholds³)</w:t>
            </w:r>
          </w:p>
        </w:tc>
      </w:tr>
      <w:tr>
        <w:tc>
          <w:tcPr>
            <w:tcW w:type="dxa" w:w="13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Geography</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Singapore-regulated FIs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Employers/agencies in NYC</w:t>
            </w:r>
          </w:p>
        </w:tc>
        <w:tc>
          <w:tcPr>
            <w:tcW w:type="dxa" w:w="17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US (any sector, voluntary)</w:t>
            </w:r>
          </w:p>
        </w:tc>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EU member states + firms serving EU market</w:t>
            </w:r>
          </w:p>
        </w:tc>
      </w:tr>
    </w:tbl>
    <w:p>
      <w:pPr>
        <w:spacing w:after="100" w:before="0" w:line="276"/>
      </w:pPr>
      <w:r>
        <w:rPr>
          <w:rFonts w:ascii="Arial" w:cs="Arial" w:eastAsia="Arial" w:hAnsi="Arial"/>
          <w:sz w:val="22"/>
          <w:szCs w:val="22"/>
        </w:rPr>
        <w:t xml:space="preserve"/>
      </w:r>
    </w:p>
    <w:p>
      <w:pPr>
        <w:pStyle w:val="Heading2"/>
        <w:spacing w:before="240" w:after="200"/>
      </w:pPr>
      <w:r>
        <w:t xml:space="preserve">5.1 Cross-Jurisdictional Implications</w:t>
      </w:r>
    </w:p>
    <w:p>
      <w:pPr>
        <w:spacing w:after="200" w:before="0" w:line="276"/>
      </w:pPr>
      <w:r>
        <w:rPr>
          <w:rFonts w:ascii="Arial" w:cs="Arial" w:eastAsia="Arial" w:hAnsi="Arial"/>
          <w:sz w:val="22"/>
          <w:szCs w:val="22"/>
        </w:rPr>
        <w:t xml:space="preserve">If you are a Singapore-headquartered bank with operations in the US and EU, you need to satisfy FEAT for your Singapore operations, LL144 for any automated hiring tools used in NYC, and the EU AI Act for high-risk AI systems deployed in Europe. FEAT-style lifecycle documentation can support LL144-style output reporting, but LL144 has its own mandated publication and candidate notice requirements that must be addressed separately. Building to FEAT standards gives you a comprehensive foundation that can be adapted for other jurisdictions, though each framework’s specific compliance requirements must be met on their own terms.</w:t>
      </w:r>
    </w:p>
    <w:p>
      <w:r>
        <w:br w:type="page"/>
      </w:r>
    </w:p>
    <w:p>
      <w:pPr>
        <w:pStyle w:val="Heading1"/>
        <w:spacing w:before="360" w:after="200"/>
      </w:pPr>
      <w:r>
        <w:t xml:space="preserve">6. What Your Internal Stakeholders Will Ask</w:t>
      </w:r>
    </w:p>
    <w:p>
      <w:pPr>
        <w:spacing w:after="200" w:before="0" w:line="276"/>
      </w:pPr>
      <w:r>
        <w:rPr>
          <w:rFonts w:ascii="Arial" w:cs="Arial" w:eastAsia="Arial" w:hAnsi="Arial"/>
          <w:sz w:val="22"/>
          <w:szCs w:val="22"/>
        </w:rPr>
        <w:t xml:space="preserve">When you bring a FEAT fairness assessment to your model risk committee, compliance team, or board, these are the questions that will come up.</w:t>
      </w:r>
    </w:p>
    <w:p>
      <w:pPr>
        <w:spacing w:after="200" w:before="0" w:line="276"/>
      </w:pPr>
      <w:r>
        <w:rPr>
          <w:rFonts w:ascii="Arial" w:cs="Arial" w:eastAsia="Arial" w:hAnsi="Arial"/>
          <w:b/>
          <w:bCs/>
          <w:color w:val="0C1F3F"/>
          <w:sz w:val="22"/>
          <w:szCs w:val="22"/>
        </w:rPr>
        <w:t xml:space="preserve">“What data do you need from us?”</w:t>
      </w:r>
    </w:p>
    <w:p>
      <w:pPr>
        <w:spacing w:after="200" w:before="0" w:line="276"/>
      </w:pPr>
      <w:r>
        <w:rPr>
          <w:rFonts w:ascii="Arial" w:cs="Arial" w:eastAsia="Arial" w:hAnsi="Arial"/>
          <w:sz w:val="22"/>
          <w:szCs w:val="22"/>
        </w:rPr>
        <w:t xml:space="preserve">Model inputs, model outputs (scores and decisions), protected attributes for the populations being scored, and ideally ground truth outcomes (defaults, claims, fraud confirmations). If you use a vendor model, we need the same outputs plus whatever documentation the vendor provides about model design and training data.</w:t>
      </w:r>
    </w:p>
    <w:p>
      <w:pPr>
        <w:spacing w:after="200" w:before="0" w:line="276"/>
      </w:pPr>
      <w:r>
        <w:rPr>
          <w:rFonts w:ascii="Arial" w:cs="Arial" w:eastAsia="Arial" w:hAnsi="Arial"/>
          <w:b/>
          <w:bCs/>
          <w:color w:val="0C1F3F"/>
          <w:sz w:val="22"/>
          <w:szCs w:val="22"/>
        </w:rPr>
        <w:t xml:space="preserve">“Do we need protected attributes? We don’t collect race or ethnicity.”</w:t>
      </w:r>
    </w:p>
    <w:p>
      <w:pPr>
        <w:spacing w:after="200" w:before="0" w:line="276"/>
      </w:pPr>
      <w:r>
        <w:rPr>
          <w:rFonts w:ascii="Arial" w:cs="Arial" w:eastAsia="Arial" w:hAnsi="Arial"/>
          <w:sz w:val="22"/>
          <w:szCs w:val="22"/>
        </w:rPr>
        <w:t xml:space="preserve">You need them for testing — not as model inputs. If you don’t collect them directly, there are inference methods (e.g., BISG for race/ethnicity based on surname and geography). These are imperfect and should be evaluated with legal counsel before use; they are often used in US fair lending monitoring contexts but use does not imply legal safe harbour and may not be appropriate in all jurisdictions. You can also test on attributes you do collect: gender, age, nationality, income band. The key is to test on something — not collecting data is not a defence against producing biased outcomes.</w:t>
      </w:r>
    </w:p>
    <w:p>
      <w:pPr>
        <w:spacing w:after="200" w:before="0" w:line="276"/>
      </w:pPr>
      <w:r>
        <w:rPr>
          <w:rFonts w:ascii="Arial" w:cs="Arial" w:eastAsia="Arial" w:hAnsi="Arial"/>
          <w:b/>
          <w:bCs/>
          <w:color w:val="0C1F3F"/>
          <w:sz w:val="22"/>
          <w:szCs w:val="22"/>
        </w:rPr>
        <w:t xml:space="preserve">“What if we can’t collect race/ethnicity data?”</w:t>
      </w:r>
    </w:p>
    <w:p>
      <w:pPr>
        <w:spacing w:after="200" w:before="0" w:line="276"/>
      </w:pPr>
      <w:r>
        <w:rPr>
          <w:rFonts w:ascii="Arial" w:cs="Arial" w:eastAsia="Arial" w:hAnsi="Arial"/>
          <w:sz w:val="22"/>
          <w:szCs w:val="22"/>
        </w:rPr>
        <w:t xml:space="preserve">In some jurisdictions, collecting race or ethnicity data is legally restricted or culturally sensitive. In these cases, proxy inference, synthetic data approaches, or testing on available attributes (gender, age, nationality) are the alternatives. Be transparent in your assessment documentation about which approach you used and its limitations. The Veritas methodology was designed with this constraint in mind.</w:t>
      </w:r>
    </w:p>
    <w:p>
      <w:pPr>
        <w:spacing w:after="200" w:before="0" w:line="276"/>
      </w:pPr>
      <w:r>
        <w:rPr>
          <w:rFonts w:ascii="Arial" w:cs="Arial" w:eastAsia="Arial" w:hAnsi="Arial"/>
          <w:b/>
          <w:bCs/>
          <w:color w:val="0C1F3F"/>
          <w:sz w:val="22"/>
          <w:szCs w:val="22"/>
        </w:rPr>
        <w:t xml:space="preserve">“How do you handle proxies?”</w:t>
      </w:r>
    </w:p>
    <w:p>
      <w:pPr>
        <w:spacing w:after="200" w:before="0" w:line="276"/>
      </w:pPr>
      <w:r>
        <w:rPr>
          <w:rFonts w:ascii="Arial" w:cs="Arial" w:eastAsia="Arial" w:hAnsi="Arial"/>
          <w:sz w:val="22"/>
          <w:szCs w:val="22"/>
        </w:rPr>
        <w:t xml:space="preserve">A proxy is a non-protected variable that correlates with a protected attribute — for example, zip code may correlate with race, or marital status with gender. Correlation alone does not establish proxy effect; proxy risk is assessed via correlation analysis combined with outcome sensitivity testing (e.g., measuring whether removing or constraining candidate proxy features changes model outcomes, or counterfactual tests where feasible). In a full FEAT assessment, proxy analysis is part of the Principle 2 evaluation (justified use of personal attributes).</w:t>
      </w:r>
    </w:p>
    <w:p>
      <w:pPr>
        <w:spacing w:after="200" w:before="0" w:line="276"/>
      </w:pPr>
      <w:r>
        <w:rPr>
          <w:rFonts w:ascii="Arial" w:cs="Arial" w:eastAsia="Arial" w:hAnsi="Arial"/>
          <w:b/>
          <w:bCs/>
          <w:color w:val="0C1F3F"/>
          <w:sz w:val="22"/>
          <w:szCs w:val="22"/>
        </w:rPr>
        <w:t xml:space="preserve">“What’s the difference between fairness and performance?”</w:t>
      </w:r>
    </w:p>
    <w:p>
      <w:pPr>
        <w:spacing w:after="200" w:before="0" w:line="276"/>
      </w:pPr>
      <w:r>
        <w:rPr>
          <w:rFonts w:ascii="Arial" w:cs="Arial" w:eastAsia="Arial" w:hAnsi="Arial"/>
          <w:sz w:val="22"/>
          <w:szCs w:val="22"/>
        </w:rPr>
        <w:t xml:space="preserve">Performance asks: does the model predict accurately? Fairness asks: does it predict equally accurately across groups? A model can be 95% accurate overall but 98% accurate for one demographic group and 85% for another. That performance gap is a fairness issue. In practice, there are often trade-offs — improving fairness for one group can reduce overall accuracy. FEAT does not prescribe a single resolution to this trade-off; it requires that the trade-off be documented, justified, and approved by appropriate internal authority (Principles 2 and 7).</w:t>
      </w:r>
    </w:p>
    <w:p>
      <w:pPr>
        <w:spacing w:after="200" w:before="0" w:line="276"/>
      </w:pPr>
      <w:r>
        <w:rPr>
          <w:rFonts w:ascii="Arial" w:cs="Arial" w:eastAsia="Arial" w:hAnsi="Arial"/>
          <w:b/>
          <w:bCs/>
          <w:color w:val="0C1F3F"/>
          <w:sz w:val="22"/>
          <w:szCs w:val="22"/>
        </w:rPr>
        <w:t xml:space="preserve">“How long does this take?”</w:t>
      </w:r>
    </w:p>
    <w:p>
      <w:pPr>
        <w:spacing w:after="200" w:before="0" w:line="276"/>
      </w:pPr>
      <w:r>
        <w:rPr>
          <w:rFonts w:ascii="Arial" w:cs="Arial" w:eastAsia="Arial" w:hAnsi="Arial"/>
          <w:sz w:val="22"/>
          <w:szCs w:val="22"/>
        </w:rPr>
        <w:t xml:space="preserve">A first FEAT assessment for a single use case typically takes 6–10 weeks, depending on data availability and model complexity. A scoped pilot focused on one decision workflow — using available data and a defined fairness metric — can often be completed faster. Subsequent assessments are faster once governance processes and data pipelines are established.</w:t>
      </w:r>
    </w:p>
    <w:p>
      <w:r>
        <w:br w:type="page"/>
      </w:r>
    </w:p>
    <w:p>
      <w:pPr>
        <w:pStyle w:val="Heading1"/>
        <w:spacing w:before="360" w:after="200"/>
      </w:pPr>
      <w:r>
        <w:t xml:space="preserve">7. The 30/60/90-Day Implementation Plan</w:t>
      </w:r>
    </w:p>
    <w:p>
      <w:pPr>
        <w:pStyle w:val="Heading2"/>
        <w:spacing w:before="240" w:after="200"/>
      </w:pPr>
      <w:r>
        <w:t xml:space="preserve">Days 0–30: Inventory and Define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c>
          <w:tcPr>
            <w:tcW w:type="dxa" w:w="3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Task</w:t>
            </w:r>
          </w:p>
        </w:tc>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Owner</w:t>
            </w:r>
          </w:p>
        </w:tc>
        <w:tc>
          <w:tcPr>
            <w:tcW w:type="dxa" w:w="3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Deliverable</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Inventory all AIDA systems in production</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Data &amp; Analytics / IT</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AIDA system register</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Classify by risk tier</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Model Risk / Compliance</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Risk-tiered register (critical, significant, low)</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Identify top 1–2 critical use cases for first assessment</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Head of Analytics + CRO</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Scoping memo</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Define fairness objectives for selected use cases</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Business owner + Ethics/Compliance</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Documented fairness standard</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Identify available data: protected attributes, inputs/outputs, ground truth</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Data team</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Data availability assessment</w:t>
            </w:r>
          </w:p>
        </w:tc>
      </w:tr>
    </w:tbl>
    <w:p>
      <w:pPr>
        <w:spacing w:after="100" w:before="0" w:line="276"/>
      </w:pPr>
      <w:r>
        <w:rPr>
          <w:rFonts w:ascii="Arial" w:cs="Arial" w:eastAsia="Arial" w:hAnsi="Arial"/>
          <w:sz w:val="22"/>
          <w:szCs w:val="22"/>
        </w:rPr>
        <w:t xml:space="preserve"/>
      </w:r>
    </w:p>
    <w:p>
      <w:pPr>
        <w:pStyle w:val="Heading2"/>
        <w:spacing w:before="240" w:after="200"/>
      </w:pPr>
      <w:r>
        <w:t xml:space="preserve">Days 31–60: Assess and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c>
          <w:tcPr>
            <w:tcW w:type="dxa" w:w="3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Task</w:t>
            </w:r>
          </w:p>
        </w:tc>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Owner</w:t>
            </w:r>
          </w:p>
        </w:tc>
        <w:tc>
          <w:tcPr>
            <w:tcW w:type="dxa" w:w="3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Deliverable</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Run fairness assessment on selected use case(s)</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Internal analytics or independent assessor</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Fairness assessment report</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Conduct proxy analysis (if model internals available)</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Model validation / Data science</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Proxy correlation matrix</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Document model design decisions and fairness trade-offs</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development team</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card with fairness section</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Present findings to governance body</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Assessment lead</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Board/committee presentation</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Obtain governance sign-off</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CRO / Model Risk Committee / Board</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Signed approval</w:t>
            </w:r>
          </w:p>
        </w:tc>
      </w:tr>
    </w:tbl>
    <w:p>
      <w:pPr>
        <w:spacing w:after="100" w:before="0" w:line="276"/>
      </w:pPr>
      <w:r>
        <w:rPr>
          <w:rFonts w:ascii="Arial" w:cs="Arial" w:eastAsia="Arial" w:hAnsi="Arial"/>
          <w:sz w:val="22"/>
          <w:szCs w:val="22"/>
        </w:rPr>
        <w:t xml:space="preserve"/>
      </w:r>
    </w:p>
    <w:p>
      <w:pPr>
        <w:pStyle w:val="Heading2"/>
        <w:spacing w:before="240" w:after="200"/>
      </w:pPr>
      <w:r>
        <w:t xml:space="preserve">Days 61–90: Remediate and Monitor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c>
          <w:tcPr>
            <w:tcW w:type="dxa" w:w="3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Task</w:t>
            </w:r>
          </w:p>
        </w:tc>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Owner</w:t>
            </w:r>
          </w:p>
        </w:tc>
        <w:tc>
          <w:tcPr>
            <w:tcW w:type="dxa" w:w="3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Deliverable</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Implement remediation for any identified disparities</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development team</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Updated model or decision rules</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Re-test after remediation</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Assessment lead</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Post-remediation fairness assessment</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Establish ongoing monitoring cadence</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Model risk / Compliance</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Monitoring schedule</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Define escalation thresholds</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CRO / Compliance</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Documented escalation thresholds</w:t>
            </w:r>
          </w:p>
        </w:tc>
      </w:tr>
      <w:tr>
        <w:tc>
          <w:tcPr>
            <w:tcW w:type="dxa" w:w="3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Update customer-facing disclosures (Principle 12)</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Legal / Product</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sz w:val="17"/>
                <w:szCs w:val="17"/>
              </w:rPr>
              <w:t xml:space="preserve">Updated disclosures</w:t>
            </w:r>
          </w:p>
        </w:tc>
      </w:tr>
      <w:tr>
        <w:tc>
          <w:tcPr>
            <w:tcW w:type="dxa" w:w="3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Document the full process for audit trail</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Compliance</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sz w:val="17"/>
                <w:szCs w:val="17"/>
              </w:rPr>
              <w:t xml:space="preserve">FEAT assessment archive</w:t>
            </w:r>
          </w:p>
        </w:tc>
      </w:tr>
    </w:tbl>
    <w:p>
      <w:r>
        <w:br w:type="page"/>
      </w:r>
    </w:p>
    <w:p>
      <w:pPr>
        <w:pStyle w:val="Heading1"/>
        <w:spacing w:before="360" w:after="200"/>
      </w:pPr>
      <w:r>
        <w:t xml:space="preserve">8. What FEAT Is Not</w:t>
      </w:r>
    </w:p>
    <w:p>
      <w:pPr>
        <w:spacing w:after="200" w:before="0" w:line="276"/>
      </w:pPr>
      <w:r>
        <w:rPr>
          <w:rFonts w:ascii="Arial" w:cs="Arial" w:eastAsia="Arial" w:hAnsi="Arial"/>
          <w:b/>
          <w:bCs/>
          <w:sz w:val="22"/>
          <w:szCs w:val="22"/>
        </w:rPr>
        <w:t xml:space="preserve">FEAT is not a single metric threshold. </w:t>
      </w:r>
      <w:r>
        <w:rPr>
          <w:rFonts w:ascii="Arial" w:cs="Arial" w:eastAsia="Arial" w:hAnsi="Arial"/>
          <w:sz w:val="22"/>
          <w:szCs w:val="22"/>
        </w:rPr>
        <w:t xml:space="preserve">Passing or failing a four-fifths screen does not determine FEAT compliance — the principles require a holistic assessment of justifiability, accuracy, governance, and transparency.</w:t>
      </w:r>
    </w:p>
    <w:p>
      <w:pPr>
        <w:spacing w:after="200" w:before="0" w:line="276"/>
      </w:pPr>
      <w:r>
        <w:rPr>
          <w:rFonts w:ascii="Arial" w:cs="Arial" w:eastAsia="Arial" w:hAnsi="Arial"/>
          <w:b/>
          <w:bCs/>
          <w:sz w:val="22"/>
          <w:szCs w:val="22"/>
        </w:rPr>
        <w:t xml:space="preserve">FEAT is not a guarantee of non-discrimination. </w:t>
      </w:r>
      <w:r>
        <w:rPr>
          <w:rFonts w:ascii="Arial" w:cs="Arial" w:eastAsia="Arial" w:hAnsi="Arial"/>
          <w:sz w:val="22"/>
          <w:szCs w:val="22"/>
        </w:rPr>
        <w:t xml:space="preserve">Completing a FEAT assessment demonstrates due diligence, not that a system is free of bias. Fairness is an ongoing practice, not a certification.</w:t>
      </w:r>
    </w:p>
    <w:p>
      <w:pPr>
        <w:spacing w:after="200" w:before="0" w:line="276"/>
      </w:pPr>
      <w:r>
        <w:rPr>
          <w:rFonts w:ascii="Arial" w:cs="Arial" w:eastAsia="Arial" w:hAnsi="Arial"/>
          <w:b/>
          <w:bCs/>
          <w:sz w:val="22"/>
          <w:szCs w:val="22"/>
        </w:rPr>
        <w:t xml:space="preserve">FEAT is not a substitute for legal advice. </w:t>
      </w:r>
      <w:r>
        <w:rPr>
          <w:rFonts w:ascii="Arial" w:cs="Arial" w:eastAsia="Arial" w:hAnsi="Arial"/>
          <w:sz w:val="22"/>
          <w:szCs w:val="22"/>
        </w:rPr>
        <w:t xml:space="preserve">This guide explains the principles and provides a practical assessment methodology. It does not replace jurisdiction-specific legal analysis.</w:t>
      </w:r>
    </w:p>
    <w:p>
      <w:pPr>
        <w:spacing w:after="200" w:before="0" w:line="276"/>
      </w:pPr>
      <w:r>
        <w:rPr>
          <w:rFonts w:ascii="Arial" w:cs="Arial" w:eastAsia="Arial" w:hAnsi="Arial"/>
          <w:b/>
          <w:bCs/>
          <w:color w:val="0C1F3F"/>
          <w:sz w:val="22"/>
          <w:szCs w:val="22"/>
        </w:rPr>
        <w:t xml:space="preserve">Scope of this guide: </w:t>
      </w:r>
      <w:r>
        <w:rPr>
          <w:rFonts w:ascii="Arial" w:cs="Arial" w:eastAsia="Arial" w:hAnsi="Arial"/>
          <w:sz w:val="22"/>
          <w:szCs w:val="22"/>
        </w:rPr>
        <w:t xml:space="preserve">This guide focuses primarily on the Fairness principles and fairness assessment methodology. Ethics, Accountability, and Transparency each require broader organisational controls, governance structures, and evidence artifacts that are beyond the scope of this document.</w:t>
      </w:r>
    </w:p>
    <w:p>
      <w:pPr>
        <w:pStyle w:val="Heading1"/>
        <w:spacing w:before="360" w:after="200"/>
      </w:pPr>
      <w:r>
        <w:t xml:space="preserve">9. Where to Start</w:t>
      </w:r>
    </w:p>
    <w:p>
      <w:pPr>
        <w:spacing w:after="200" w:before="0" w:line="276"/>
      </w:pPr>
      <w:r>
        <w:rPr>
          <w:rFonts w:ascii="Arial" w:cs="Arial" w:eastAsia="Arial" w:hAnsi="Arial"/>
          <w:sz w:val="22"/>
          <w:szCs w:val="22"/>
        </w:rPr>
        <w:t xml:space="preserve">If you are a financial institution in Singapore reading this guide, the single highest-value action you can take today is to inventory your AIDA systems and identify which ones make or assist decisions that directly affect customers — loan approvals, insurance pricing, fraud detection, investment recommendations. Those are your critical use cases.</w:t>
      </w:r>
    </w:p>
    <w:p>
      <w:pPr>
        <w:spacing w:after="200" w:before="0" w:line="276"/>
      </w:pPr>
      <w:r>
        <w:rPr>
          <w:rFonts w:ascii="Arial" w:cs="Arial" w:eastAsia="Arial" w:hAnsi="Arial"/>
          <w:sz w:val="22"/>
          <w:szCs w:val="22"/>
        </w:rPr>
        <w:t xml:space="preserve">You do not need to assess every model at once. Start with one. Run through the testing recipe above. Document what you find. Bring it to your risk committee. That first assessment will teach you more about your organisation’s fairness posture than any framework document can.</w:t>
      </w:r>
    </w:p>
    <w:p>
      <w:pPr>
        <w:spacing w:after="200" w:before="0" w:line="276"/>
      </w:pPr>
      <w:r>
        <w:rPr>
          <w:rFonts w:ascii="Arial" w:cs="Arial" w:eastAsia="Arial" w:hAnsi="Arial"/>
          <w:sz w:val="22"/>
          <w:szCs w:val="22"/>
        </w:rPr>
        <w:t xml:space="preserve">If you would like an independent perspective on your first assessment — or if you want to build internal capacity to run FEAT assessments yourself — Minerva AI Assurance can support a scoped pilot. We work with teams in APAC to design, execute, and review FEAT-aligned fairness assessments.</w:t>
      </w:r>
    </w:p>
    <w:p>
      <w:pPr>
        <w:spacing w:after="200" w:before="0" w:line="276"/>
      </w:pPr>
      <w:r>
        <w:rPr>
          <w:rFonts w:ascii="Arial" w:cs="Arial" w:eastAsia="Arial" w:hAnsi="Arial"/>
          <w:b/>
          <w:bCs/>
          <w:color w:val="0C1F3F"/>
          <w:sz w:val="22"/>
          <w:szCs w:val="22"/>
        </w:rPr>
        <w:t xml:space="preserve">hello@trustminerva.com  |  trustminerva.com</w:t>
      </w:r>
    </w:p>
    <w:p>
      <w:r>
        <w:br w:type="page"/>
      </w:r>
    </w:p>
    <w:p>
      <w:pPr>
        <w:pStyle w:val="Heading1"/>
        <w:spacing w:before="360" w:after="200"/>
      </w:pPr>
      <w:r>
        <w:t xml:space="preserve">References</w:t>
      </w:r>
    </w:p>
    <w:p>
      <w:pPr>
        <w:spacing w:after="80"/>
      </w:pPr>
      <w:r>
        <w:rPr>
          <w:rFonts w:ascii="Arial" w:cs="Arial" w:eastAsia="Arial" w:hAnsi="Arial"/>
          <w:color w:val="7E90A6"/>
          <w:sz w:val="18"/>
          <w:szCs w:val="18"/>
        </w:rPr>
        <w:t xml:space="preserve">¹ MAS Veritas Initiative: list of consortium members and phase documentation available at mas.gov.sg/schemes-and-initiatives/veritas</w:t>
      </w:r>
    </w:p>
    <w:p>
      <w:pPr>
        <w:spacing w:after="80"/>
      </w:pPr>
      <w:r>
        <w:rPr>
          <w:rFonts w:ascii="Arial" w:cs="Arial" w:eastAsia="Arial" w:hAnsi="Arial"/>
          <w:color w:val="7E90A6"/>
          <w:sz w:val="18"/>
          <w:szCs w:val="18"/>
        </w:rPr>
        <w:t xml:space="preserve">² Veritas Toolkit v2.0 (open source): github.com/veritas-toolkit</w:t>
      </w:r>
    </w:p>
    <w:p>
      <w:pPr>
        <w:spacing w:after="80"/>
      </w:pPr>
      <w:r>
        <w:rPr>
          <w:rFonts w:ascii="Arial" w:cs="Arial" w:eastAsia="Arial" w:hAnsi="Arial"/>
          <w:color w:val="7E90A6"/>
          <w:sz w:val="18"/>
          <w:szCs w:val="18"/>
        </w:rPr>
        <w:t xml:space="preserve">³ EU AI Act: Regulation (EU) 2024/1689. Penalty provisions in Articles 99–101. Enforcement timelines are phased; verify current status at artificialintelligenceact.eu</w:t>
      </w:r>
    </w:p>
    <w:p>
      <w:pPr>
        <w:spacing w:after="80"/>
      </w:pPr>
      <w:r>
        <w:rPr>
          <w:rFonts w:ascii="Arial" w:cs="Arial" w:eastAsia="Arial" w:hAnsi="Arial"/>
          <w:color w:val="7E90A6"/>
          <w:sz w:val="18"/>
          <w:szCs w:val="18"/>
        </w:rPr>
        <w:t xml:space="preserve">⁴ MAS FEAT Principles (2018): mas.gov.sg/publications/monographs-or-information-paper/2018/feat</w:t>
      </w:r>
    </w:p>
    <w:p>
      <w:pPr>
        <w:spacing w:after="80"/>
      </w:pPr>
      <w:r>
        <w:rPr>
          <w:rFonts w:ascii="Arial" w:cs="Arial" w:eastAsia="Arial" w:hAnsi="Arial"/>
          <w:color w:val="7E90A6"/>
          <w:sz w:val="18"/>
          <w:szCs w:val="18"/>
        </w:rPr>
        <w:t xml:space="preserve">⁵ PDPC Model AI Governance Framework: pdpc.gov.sg/help-and-resources/2020/01/model-ai-governance-framework</w:t>
      </w:r>
    </w:p>
    <w:p>
      <w:pPr>
        <w:spacing w:after="80"/>
      </w:pPr>
      <w:r>
        <w:rPr>
          <w:rFonts w:ascii="Arial" w:cs="Arial" w:eastAsia="Arial" w:hAnsi="Arial"/>
          <w:color w:val="7E90A6"/>
          <w:sz w:val="18"/>
          <w:szCs w:val="18"/>
        </w:rPr>
        <w:t xml:space="preserve">⁶ AI Verify (IMDA): aiverifyfoundation.sg</w:t>
      </w:r>
    </w:p>
    <w:p>
      <w:pPr>
        <w:spacing w:after="80"/>
      </w:pPr>
      <w:r>
        <w:rPr>
          <w:rFonts w:ascii="Arial" w:cs="Arial" w:eastAsia="Arial" w:hAnsi="Arial"/>
          <w:color w:val="7E90A6"/>
          <w:sz w:val="18"/>
          <w:szCs w:val="18"/>
        </w:rPr>
        <w:t xml:space="preserve">⁷ NYC Local Law 144 (2021): NYC Administrative Code §20-870 et seq.</w:t>
      </w:r>
    </w:p>
    <w:p>
      <w:pPr>
        <w:spacing w:before="600"/>
      </w:pPr>
    </w:p>
    <w:p>
      <w:pPr>
        <w:pBdr>
          <w:bottom w:val="single" w:color="D8DFE8" w:sz="1" w:space="4"/>
        </w:pBdr>
        <w:spacing w:after="200"/>
      </w:pPr>
    </w:p>
    <w:p>
      <w:pPr>
        <w:spacing w:after="200" w:before="0" w:line="276"/>
      </w:pPr>
      <w:r>
        <w:rPr>
          <w:rFonts w:ascii="Arial" w:cs="Arial" w:eastAsia="Arial" w:hAnsi="Arial"/>
          <w:i/>
          <w:iCs/>
          <w:color w:val="7E90A6"/>
          <w:sz w:val="18"/>
          <w:szCs w:val="18"/>
        </w:rPr>
        <w:t xml:space="preserve">This guide is published by Minerva Research, a publication by Minerva AI Assurance. It is provided for informational purposes and does not constitute legal or regulatory advice. Financial institutions should consult their legal counsel and compliance teams when implementing AI governance frameworks.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E90A6"/>
        <w:sz w:val="16"/>
        <w:szCs w:val="16"/>
      </w:rPr>
      <w:t xml:space="preserve">Page </w:t>
    </w:r>
    <w:r>
      <w:rPr>
        <w:rFonts w:ascii="Arial" w:cs="Arial" w:eastAsia="Arial" w:hAnsi="Arial"/>
        <w:color w:val="7E90A6"/>
        <w:sz w:val="16"/>
        <w:szCs w:val="16"/>
      </w:rPr>
      <w:fldChar w:fldCharType="begin"/>
      <w:instrText xml:space="preserve">PAGE</w:instrText>
      <w:fldChar w:fldCharType="separate"/>
      <w:fldChar w:fldCharType="end"/>
    </w:r>
    <w:r>
      <w:rPr>
        <w:rFonts w:ascii="Arial" w:cs="Arial" w:eastAsia="Arial" w:hAnsi="Arial"/>
        <w:color w:val="7E90A6"/>
        <w:sz w:val="16"/>
        <w:szCs w:val="16"/>
      </w:rPr>
      <w:t xml:space="preserve">  |  hello@trustminerva.com  |  trustminerva.com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FE8" w:sz="1" w:space="4"/>
      </w:pBdr>
      <w:jc w:val="right"/>
    </w:pPr>
    <w:r>
      <w:rPr>
        <w:rFonts w:ascii="Arial" w:cs="Arial" w:eastAsia="Arial" w:hAnsi="Arial"/>
        <w:color w:val="7E90A6"/>
        <w:sz w:val="16"/>
        <w:szCs w:val="16"/>
      </w:rPr>
      <w:t xml:space="preserve">Minerva Research  |  FEAT Practitioner’s Guide  |  February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0C1F3F"/>
      <w:sz w:val="32"/>
      <w:szCs w:val="32"/>
    </w:rPr>
  </w:style>
  <w:style w:type="paragraph" w:styleId="Heading2">
    <w:name w:val="Heading 2"/>
    <w:basedOn w:val="Normal"/>
    <w:next w:val="Normal"/>
    <w:qFormat/>
    <w:pPr>
      <w:spacing w:before="240" w:after="180"/>
      <w:outlineLvl w:val="1"/>
    </w:pPr>
    <w:rPr>
      <w:rFonts w:ascii="Arial" w:cs="Arial" w:eastAsia="Arial" w:hAnsi="Arial"/>
      <w:b/>
      <w:bCs/>
      <w:color w:val="0C1F3F"/>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546A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2026-02-22T05:50:22.512Z</dcterms:created>
  <dcterms:modified xsi:type="dcterms:W3CDTF">2026-02-22T05:50:22.512Z</dcterms:modified>
</cp:coreProperties>
</file>

<file path=docProps/custom.xml><?xml version="1.0" encoding="utf-8"?>
<Properties xmlns="http://schemas.openxmlformats.org/officeDocument/2006/custom-properties" xmlns:vt="http://schemas.openxmlformats.org/officeDocument/2006/docPropsVTypes"/>
</file>