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80"/>
      </w:pPr>
      <w:r>
        <w:rPr>
          <w:rFonts w:ascii="Garamond" w:cs="Garamond" w:eastAsia="Garamond" w:hAnsi="Garamond"/>
          <w:color w:val="5A6A7A"/>
          <w:spacing w:val="200"/>
          <w:sz w:val="20"/>
          <w:szCs w:val="20"/>
        </w:rPr>
        <w:t xml:space="preserve">MINERVA AI ASSURANCE</w:t>
      </w:r>
    </w:p>
    <w:p>
      <w:pPr>
        <w:pBdr>
          <w:bottom w:val="single" w:color="1565C0" w:sz="6" w:space="12"/>
        </w:pBdr>
        <w:spacing w:before="0" w:after="200"/>
      </w:pPr>
      <w:r>
        <w:rPr>
          <w:rFonts w:ascii="Garamond" w:cs="Garamond" w:eastAsia="Garamond" w:hAnsi="Garamond"/>
          <w:b/>
          <w:bCs/>
          <w:color w:val="0C1F3F"/>
          <w:sz w:val="48"/>
          <w:szCs w:val="48"/>
        </w:rPr>
        <w:t xml:space="preserve">FEAT-Aligned Fairness Assessment</w:t>
      </w:r>
    </w:p>
    <w:p>
      <w:pPr>
        <w:spacing w:before="200" w:after="80"/>
      </w:pPr>
      <w:r>
        <w:rPr>
          <w:rFonts w:ascii="Garamond" w:cs="Garamond" w:eastAsia="Garamond" w:hAnsi="Garamond"/>
          <w:color w:val="5A6A7A"/>
          <w:sz w:val="28"/>
          <w:szCs w:val="28"/>
        </w:rPr>
        <w:t xml:space="preserve">Consumer Lending in Southeast Asia</w:t>
      </w:r>
    </w:p>
    <w:p>
      <w:pPr>
        <w:spacing w:before="0" w:after="0"/>
      </w:pPr>
    </w:p>
    <w:p>
      <w:pPr>
        <w:spacing w:before="0" w:after="160"/>
      </w:pPr>
      <w:r>
        <w:rPr>
          <w:rFonts w:ascii="Garamond" w:cs="Garamond" w:eastAsia="Garamond" w:hAnsi="Garamond"/>
          <w:b/>
          <w:bCs/>
          <w:color w:val="0C1F3F"/>
          <w:sz w:val="22"/>
          <w:szCs w:val="22"/>
        </w:rPr>
        <w:t xml:space="preserve">Data Source: </w:t>
      </w:r>
      <w:r>
        <w:rPr>
          <w:rFonts w:ascii="Garamond" w:cs="Garamond" w:eastAsia="Garamond" w:hAnsi="Garamond"/>
          <w:color w:val="5A6A7A"/>
          <w:sz w:val="22"/>
          <w:szCs w:val="22"/>
        </w:rPr>
        <w:t xml:space="preserve">Home Credit Group — Consumer Lending Portfolio (Southeast Asia)</w:t>
      </w:r>
    </w:p>
    <w:p>
      <w:pPr>
        <w:spacing w:before="0" w:after="160"/>
      </w:pPr>
      <w:r>
        <w:rPr>
          <w:rFonts w:ascii="Garamond" w:cs="Garamond" w:eastAsia="Garamond" w:hAnsi="Garamond"/>
          <w:b/>
          <w:bCs/>
          <w:color w:val="0C1F3F"/>
          <w:sz w:val="22"/>
          <w:szCs w:val="22"/>
        </w:rPr>
        <w:t xml:space="preserve">Dataset: </w:t>
      </w:r>
      <w:r>
        <w:rPr>
          <w:rFonts w:ascii="Garamond" w:cs="Garamond" w:eastAsia="Garamond" w:hAnsi="Garamond"/>
          <w:color w:val="5A6A7A"/>
          <w:sz w:val="22"/>
          <w:szCs w:val="22"/>
        </w:rPr>
        <w:t xml:space="preserve">307,505 originated loan applications (approved-only; see Section 2.4)</w:t>
      </w:r>
    </w:p>
    <w:p>
      <w:pPr>
        <w:spacing w:before="0" w:after="160"/>
      </w:pPr>
      <w:r>
        <w:rPr>
          <w:rFonts w:ascii="Garamond" w:cs="Garamond" w:eastAsia="Garamond" w:hAnsi="Garamond"/>
          <w:b/>
          <w:bCs/>
          <w:color w:val="0C1F3F"/>
          <w:sz w:val="22"/>
          <w:szCs w:val="22"/>
        </w:rPr>
        <w:t xml:space="preserve">Protected Attributes: </w:t>
      </w:r>
      <w:r>
        <w:rPr>
          <w:rFonts w:ascii="Garamond" w:cs="Garamond" w:eastAsia="Garamond" w:hAnsi="Garamond"/>
          <w:color w:val="5A6A7A"/>
          <w:sz w:val="22"/>
          <w:szCs w:val="22"/>
        </w:rPr>
        <w:t xml:space="preserve">Gender, Age, Family Status</w:t>
      </w:r>
    </w:p>
    <w:p>
      <w:pPr>
        <w:spacing w:before="0" w:after="160"/>
      </w:pPr>
      <w:r>
        <w:rPr>
          <w:rFonts w:ascii="Garamond" w:cs="Garamond" w:eastAsia="Garamond" w:hAnsi="Garamond"/>
          <w:b/>
          <w:bCs/>
          <w:color w:val="0C1F3F"/>
          <w:sz w:val="22"/>
          <w:szCs w:val="22"/>
        </w:rPr>
        <w:t xml:space="preserve">Framework Alignment: </w:t>
      </w:r>
      <w:r>
        <w:rPr>
          <w:rFonts w:ascii="Garamond" w:cs="Garamond" w:eastAsia="Garamond" w:hAnsi="Garamond"/>
          <w:color w:val="5A6A7A"/>
          <w:sz w:val="22"/>
          <w:szCs w:val="22"/>
        </w:rPr>
        <w:t xml:space="preserve">MAS FEAT Fairness Principles, AI Verify Testing Framework (see Section 7.4)</w:t>
      </w:r>
    </w:p>
    <w:p>
      <w:pPr>
        <w:spacing w:before="0" w:after="160"/>
      </w:pPr>
      <w:r>
        <w:rPr>
          <w:rFonts w:ascii="Garamond" w:cs="Garamond" w:eastAsia="Garamond" w:hAnsi="Garamond"/>
          <w:b/>
          <w:bCs/>
          <w:color w:val="0C1F3F"/>
          <w:sz w:val="22"/>
          <w:szCs w:val="22"/>
        </w:rPr>
        <w:t xml:space="preserve">Methodology: </w:t>
      </w:r>
      <w:r>
        <w:rPr>
          <w:rFonts w:ascii="Garamond" w:cs="Garamond" w:eastAsia="Garamond" w:hAnsi="Garamond"/>
          <w:color w:val="5A6A7A"/>
          <w:sz w:val="22"/>
          <w:szCs w:val="22"/>
        </w:rPr>
        <w:t xml:space="preserve">Adverse impact analysis (four-fifths rule), logistic regression risk model simulation, intersectional analysis, ablation testing, statistical significance with BH correction</w:t>
      </w:r>
    </w:p>
    <w:p>
      <w:pPr>
        <w:spacing w:before="0" w:after="0"/>
      </w:pPr>
    </w:p>
    <w:p>
      <w:pPr>
        <w:spacing w:before="0" w:after="160"/>
      </w:pPr>
      <w:r>
        <w:rPr>
          <w:rFonts w:ascii="Garamond" w:cs="Garamond" w:eastAsia="Garamond" w:hAnsi="Garamond"/>
          <w:color w:val="5A6A7A"/>
          <w:sz w:val="22"/>
          <w:szCs w:val="22"/>
        </w:rPr>
        <w:t xml:space="preserve">Date of Report: February 2026</w:t>
      </w:r>
    </w:p>
    <w:p>
      <w:pPr>
        <w:spacing w:before="0" w:after="160"/>
      </w:pPr>
      <w:r>
        <w:rPr>
          <w:rFonts w:ascii="Garamond" w:cs="Garamond" w:eastAsia="Garamond" w:hAnsi="Garamond"/>
          <w:color w:val="5A6A7A"/>
          <w:sz w:val="22"/>
          <w:szCs w:val="22"/>
        </w:rPr>
        <w:t xml:space="preserve">Classification: CONFIDENTIAL</w:t>
      </w:r>
    </w:p>
    <w:p>
      <w:pPr>
        <w:spacing w:before="0" w:after="0"/>
      </w:pPr>
    </w:p>
    <w:p>
      <w:pPr>
        <w:spacing w:before="0" w:after="0"/>
      </w:pPr>
    </w:p>
    <w:p>
      <w:pPr>
        <w:spacing w:before="0" w:after="0"/>
      </w:pPr>
    </w:p>
    <w:p>
      <w:pPr>
        <w:spacing w:before="0" w:after="0"/>
      </w:pPr>
    </w:p>
    <w:p>
      <w:pPr>
        <w:spacing w:before="0" w:after="0"/>
      </w:pPr>
    </w:p>
    <w:p>
      <w:pPr>
        <w:spacing w:before="0" w:after="160"/>
      </w:pPr>
      <w:r>
        <w:rPr>
          <w:rFonts w:ascii="Garamond" w:cs="Garamond" w:eastAsia="Garamond" w:hAnsi="Garamond"/>
          <w:color w:val="5A6A7A"/>
          <w:sz w:val="22"/>
          <w:szCs w:val="22"/>
        </w:rPr>
        <w:t xml:space="preserve">Prepared by Minerva AI Assurance</w:t>
      </w:r>
    </w:p>
    <w:p>
      <w:pPr>
        <w:spacing w:before="0" w:after="160"/>
      </w:pPr>
      <w:r>
        <w:rPr>
          <w:rFonts w:ascii="Garamond" w:cs="Garamond" w:eastAsia="Garamond" w:hAnsi="Garamond"/>
          <w:color w:val="5A6A7A"/>
          <w:sz w:val="22"/>
          <w:szCs w:val="22"/>
        </w:rPr>
        <w:t xml:space="preserve">Singapore  ·  United States</w:t>
      </w:r>
    </w:p>
    <w:p>
      <w:pPr>
        <w:spacing w:before="0" w:after="160"/>
      </w:pPr>
      <w:r>
        <w:rPr>
          <w:rFonts w:ascii="Garamond" w:cs="Garamond" w:eastAsia="Garamond" w:hAnsi="Garamond"/>
          <w:color w:val="5A6A7A"/>
          <w:sz w:val="22"/>
          <w:szCs w:val="22"/>
        </w:rPr>
        <w:t xml:space="preserve">hello@trustminerva.com  ·  www.trustminerva.com</w:t>
      </w:r>
    </w:p>
    <w:p>
      <w:pPr>
        <w:sectPr>
          <w:pgSz w:w="12240" w:h="15840" w:orient="portrait"/>
          <w:pgMar w:top="1440" w:right="1440" w:bottom="1440" w:left="1440" w:header="708" w:footer="708" w:gutter="0"/>
          <w:pgNumType/>
          <w:docGrid w:linePitch="360"/>
        </w:sectPr>
      </w:pPr>
    </w:p>
    <w:p>
      <w:pPr>
        <w:pBdr>
          <w:bottom w:val="single" w:color="1565C0" w:sz="4" w:space="8"/>
        </w:pBdr>
        <w:spacing w:before="360" w:after="200"/>
      </w:pPr>
      <w:r>
        <w:rPr>
          <w:rFonts w:ascii="Garamond" w:cs="Garamond" w:eastAsia="Garamond" w:hAnsi="Garamond"/>
          <w:b/>
          <w:bCs/>
          <w:color w:val="0C1F3F"/>
          <w:sz w:val="28"/>
          <w:szCs w:val="28"/>
        </w:rPr>
        <w:t xml:space="preserve">1. Executive Summary</w:t>
      </w:r>
    </w:p>
    <w:p>
      <w:pPr>
        <w:spacing w:before="0" w:after="160"/>
      </w:pPr>
      <w:r>
        <w:rPr>
          <w:rFonts w:ascii="Garamond" w:cs="Garamond" w:eastAsia="Garamond" w:hAnsi="Garamond"/>
          <w:color w:val="5A6A7A"/>
          <w:sz w:val="22"/>
          <w:szCs w:val="22"/>
        </w:rPr>
        <w:t xml:space="preserve">Minerva AI Assurance conducted a FEAT-aligned fairness assessment of consumer lending outcomes using data from Home Credit Group’s Southeast Asian lending portfolio. The dataset comprises 307,505 originated consumer loans and is a dataset consistent with the Home Credit Default Risk dataset used in the MAS Veritas Consortium’s FEAT Fairness Principles Assessment Case Studies (December 2020). This analysis examines whether a credit risk model trained on this data produces systematically different outcomes for applicants across gender, age, and family status — the protected attributes most relevant to FEAT fairness assessments in Singapore and ASEAN financial 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E65100" w:sz="6"/>
              <w:left w:val="single" w:color="E65100" w:sz="6"/>
              <w:bottom w:val="single" w:color="E65100" w:sz="6"/>
              <w:right w:val="single" w:color="E65100" w:sz="6"/>
            </w:tcBorders>
            <w:shd w:fill="FFF3E0" w:val="clear"/>
            <w:tcMar>
              <w:top w:type="dxa" w:w="120"/>
              <w:left w:type="dxa" w:w="200"/>
              <w:bottom w:type="dxa" w:w="120"/>
              <w:right w:type="dxa" w:w="200"/>
            </w:tcMar>
          </w:tcPr>
          <w:p>
            <w:pPr>
              <w:spacing w:before="0" w:after="0"/>
            </w:pPr>
            <w:r>
              <w:rPr>
                <w:rFonts w:ascii="Garamond" w:cs="Garamond" w:eastAsia="Garamond" w:hAnsi="Garamond"/>
                <w:b/>
                <w:bCs/>
                <w:color w:val="E65100"/>
                <w:sz w:val="22"/>
                <w:szCs w:val="22"/>
              </w:rPr>
              <w:t xml:space="preserve">Approved-only dataset. </w:t>
            </w:r>
            <w:r>
              <w:rPr>
                <w:rFonts w:ascii="Garamond" w:cs="Garamond" w:eastAsia="Garamond" w:hAnsi="Garamond"/>
                <w:color w:val="5A6A7A"/>
                <w:sz w:val="22"/>
                <w:szCs w:val="22"/>
              </w:rPr>
              <w:t xml:space="preserve">This dataset contains only originated (approved and disbursed) loans. Rejected applicants are not included. All simulated approval rates in this report are a demonstration of methodology on a selected population, not an inference about real-world acceptance rates across the full applicant pool. A production FEAT assessment should use the full application funnel (approved and declined), or explicitly document reject-inference limitations. See Section 2.4 for detail.</w:t>
            </w:r>
          </w:p>
        </w:tc>
      </w:tr>
    </w:tbl>
    <w:p>
      <w:pPr>
        <w:spacing w:before="280" w:after="120"/>
      </w:pPr>
      <w:r>
        <w:rPr>
          <w:rFonts w:ascii="Garamond" w:cs="Garamond" w:eastAsia="Garamond" w:hAnsi="Garamond"/>
          <w:b/>
          <w:bCs/>
          <w:color w:val="1565C0"/>
          <w:sz w:val="24"/>
          <w:szCs w:val="24"/>
        </w:rPr>
        <w:t xml:space="preserve">Key Findings</w:t>
      </w:r>
    </w:p>
    <w:p>
      <w:pPr>
        <w:spacing w:before="0" w:after="160"/>
      </w:pPr>
      <w:r>
        <w:rPr>
          <w:rFonts w:ascii="Garamond" w:cs="Garamond" w:eastAsia="Garamond" w:hAnsi="Garamond"/>
          <w:b/>
          <w:bCs/>
          <w:color w:val="0C1F3F"/>
          <w:sz w:val="22"/>
          <w:szCs w:val="22"/>
        </w:rPr>
        <w:t xml:space="preserve">Age is the primary fairness concern. </w:t>
      </w:r>
      <w:r>
        <w:rPr>
          <w:rFonts w:ascii="Garamond" w:cs="Garamond" w:eastAsia="Garamond" w:hAnsi="Garamond"/>
          <w:color w:val="5A6A7A"/>
          <w:sz w:val="22"/>
          <w:szCs w:val="22"/>
        </w:rPr>
        <w:t xml:space="preserve">Younger borrowers face severe adverse impact under a simulated risk model. Applicants aged 18–25 receive a simulated approval rate of 44.3%, producing an Impact Ratio of 0.486 against the reference group (65+, 91.1%). Applicants aged 26–35 fare only slightly better at 61.8% (IR = 0.679). Both groups fail the four-fifths threshold by a wide margin. The 18–25 finding is robust to reference group selection (IR fails the four-fifths threshold under all three reference groups tested). The 26–35 finding is reference-sensitive: it fails under conservative references (IR = 0.679 vs 65+; IR = 0.756 vs 46–55) but sits near the threshold under the largest-group reference (IR = 0.817 vs 36–45).</w:t>
      </w:r>
    </w:p>
    <w:p>
      <w:pPr>
        <w:spacing w:before="0" w:after="160"/>
      </w:pPr>
      <w:r>
        <w:rPr>
          <w:rFonts w:ascii="Garamond" w:cs="Garamond" w:eastAsia="Garamond" w:hAnsi="Garamond"/>
          <w:b/>
          <w:bCs/>
          <w:color w:val="0C1F3F"/>
          <w:sz w:val="22"/>
          <w:szCs w:val="22"/>
        </w:rPr>
        <w:t xml:space="preserve">Gender shows a meaningful but passing disparity. </w:t>
      </w:r>
      <w:r>
        <w:rPr>
          <w:rFonts w:ascii="Garamond" w:cs="Garamond" w:eastAsia="Garamond" w:hAnsi="Garamond"/>
          <w:color w:val="5A6A7A"/>
          <w:sz w:val="22"/>
          <w:szCs w:val="22"/>
        </w:rPr>
        <w:t xml:space="preserve">Male applicants receive a simulated approval rate of 70.0% compared to 76.7% for female applicants, producing an Impact Ratio of 0.913 — above the four-fifths threshold but a statistically significant 6.7 percentage point gap (p &lt; 0.001 after Benjamini–Hochberg correction across 10 comparisons). In this dataset, male borrowers also exhibit higher observed default rates (10.1% vs 7.0%), which partially explains the model’s differential treatment.</w:t>
      </w:r>
    </w:p>
    <w:p>
      <w:pPr>
        <w:spacing w:before="0" w:after="160"/>
      </w:pPr>
      <w:r>
        <w:rPr>
          <w:rFonts w:ascii="Garamond" w:cs="Garamond" w:eastAsia="Garamond" w:hAnsi="Garamond"/>
          <w:b/>
          <w:bCs/>
          <w:color w:val="0C1F3F"/>
          <w:sz w:val="22"/>
          <w:szCs w:val="22"/>
        </w:rPr>
        <w:t xml:space="preserve">Intersectional analysis reveals compounding effects. </w:t>
      </w:r>
      <w:r>
        <w:rPr>
          <w:rFonts w:ascii="Garamond" w:cs="Garamond" w:eastAsia="Garamond" w:hAnsi="Garamond"/>
          <w:color w:val="5A6A7A"/>
          <w:sz w:val="22"/>
          <w:szCs w:val="22"/>
        </w:rPr>
        <w:t xml:space="preserve">Young male borrowers (18–25) receive a simulated approval rate of just 40.8% (IR = 0.448), the lowest of any intersectional group. Young female borrowers (18–25) fare only marginally better at 47.3% (IR = 0.519). Both fail the four-fifths rule. The intersection of youth and male gender produces the worst outcome in the dataset.</w:t>
      </w:r>
    </w:p>
    <w:p>
      <w:pPr>
        <w:spacing w:before="0" w:after="160"/>
      </w:pPr>
      <w:r>
        <w:rPr>
          <w:rFonts w:ascii="Garamond" w:cs="Garamond" w:eastAsia="Garamond" w:hAnsi="Garamond"/>
          <w:b/>
          <w:bCs/>
          <w:color w:val="0C1F3F"/>
          <w:sz w:val="22"/>
          <w:szCs w:val="22"/>
        </w:rPr>
        <w:t xml:space="preserve">Family status passes the four-fifths rule across all groups </w:t>
      </w:r>
      <w:r>
        <w:rPr>
          <w:rFonts w:ascii="Garamond" w:cs="Garamond" w:eastAsia="Garamond" w:hAnsi="Garamond"/>
          <w:color w:val="5A6A7A"/>
          <w:sz w:val="22"/>
          <w:szCs w:val="22"/>
        </w:rPr>
        <w:t xml:space="preserve">but single/unmarried applicants (67.7%) and those in civil marriages (70.0%) sit closer to the threshold and warrant monitoring.</w:t>
      </w:r>
    </w:p>
    <w:p>
      <w:pPr>
        <w:spacing w:before="0" w:after="160"/>
      </w:pPr>
      <w:r>
        <w:rPr>
          <w:rFonts w:ascii="Garamond" w:cs="Garamond" w:eastAsia="Garamond" w:hAnsi="Garamond"/>
          <w:b/>
          <w:bCs/>
          <w:color w:val="0C1F3F"/>
          <w:sz w:val="22"/>
          <w:szCs w:val="22"/>
        </w:rPr>
        <w:t xml:space="preserve">Ablation test: removing external credit scores worsens age disparities dramatically. </w:t>
      </w:r>
      <w:r>
        <w:rPr>
          <w:rFonts w:ascii="Garamond" w:cs="Garamond" w:eastAsia="Garamond" w:hAnsi="Garamond"/>
          <w:color w:val="5A6A7A"/>
          <w:sz w:val="22"/>
          <w:szCs w:val="22"/>
        </w:rPr>
        <w:t xml:space="preserve">When the three EXT_SOURCE features are removed, model AUC drops from 0.726 to 0.620, and age-based adverse impact becomes more severe (18–25 IR falls from 0.486 to 0.180). In this simulation, EXT_SOURCE features reduce measured age-based disparity, but their provenance is unknown and they could embed or proxy demographic effects. Documentation and a correlation audit are required. See Section 4.4.</w:t>
      </w:r>
    </w:p>
    <w:p>
      <w:pPr>
        <w:pBdr>
          <w:bottom w:val="single" w:color="1565C0" w:sz="4" w:space="8"/>
        </w:pBdr>
        <w:spacing w:before="360" w:after="200"/>
      </w:pPr>
      <w:r>
        <w:rPr>
          <w:rFonts w:ascii="Garamond" w:cs="Garamond" w:eastAsia="Garamond" w:hAnsi="Garamond"/>
          <w:b/>
          <w:bCs/>
          <w:color w:val="0C1F3F"/>
          <w:sz w:val="28"/>
          <w:szCs w:val="28"/>
        </w:rPr>
        <w:t xml:space="preserve">2. Methodology</w:t>
      </w:r>
    </w:p>
    <w:p>
      <w:pPr>
        <w:spacing w:before="280" w:after="120"/>
      </w:pPr>
      <w:r>
        <w:rPr>
          <w:rFonts w:ascii="Garamond" w:cs="Garamond" w:eastAsia="Garamond" w:hAnsi="Garamond"/>
          <w:b/>
          <w:bCs/>
          <w:color w:val="1565C0"/>
          <w:sz w:val="24"/>
          <w:szCs w:val="24"/>
        </w:rPr>
        <w:t xml:space="preserve">2.1 Data Source</w:t>
      </w:r>
    </w:p>
    <w:p>
      <w:pPr>
        <w:spacing w:before="0" w:after="160"/>
      </w:pPr>
      <w:r>
        <w:rPr>
          <w:rFonts w:ascii="Garamond" w:cs="Garamond" w:eastAsia="Garamond" w:hAnsi="Garamond"/>
          <w:color w:val="5A6A7A"/>
          <w:sz w:val="22"/>
          <w:szCs w:val="22"/>
        </w:rPr>
        <w:t xml:space="preserve">This analysis uses the Home Credit Default Risk dataset, a publicly available consumer lending portfolio from Home Credit Group’s operations in Southeast Asia (primarily Indonesia, Philippines, and Vietnam). The dataset was the subject of the MAS Veritas Consortium’s FEAT Fairness Principles Assessment Case Studies and a Kaggle competition. It contains 307,505 originated consumer loans with 122 attributes per application, including demographic information, income, credit amounts, and repayment outcomes.</w:t>
      </w:r>
    </w:p>
    <w:p>
      <w:pPr>
        <w:spacing w:before="0" w:after="160"/>
      </w:pPr>
      <w:r>
        <w:rPr>
          <w:rFonts w:ascii="Garamond" w:cs="Garamond" w:eastAsia="Garamond" w:hAnsi="Garamond"/>
          <w:color w:val="5A6A7A"/>
          <w:sz w:val="22"/>
          <w:szCs w:val="22"/>
        </w:rPr>
        <w:t xml:space="preserve">All loans in this dataset were originated (approved and disbursed). The TARGET variable indicates whether the borrower defaulted (TARGET=1, 8.1% of loans) or repaid successfully (TARGET=0, 91.9%).</w:t>
      </w:r>
    </w:p>
    <w:p>
      <w:pPr>
        <w:spacing w:before="280" w:after="120"/>
      </w:pPr>
      <w:r>
        <w:rPr>
          <w:rFonts w:ascii="Garamond" w:cs="Garamond" w:eastAsia="Garamond" w:hAnsi="Garamond"/>
          <w:b/>
          <w:bCs/>
          <w:color w:val="1565C0"/>
          <w:sz w:val="24"/>
          <w:szCs w:val="24"/>
        </w:rPr>
        <w:t xml:space="preserve">2.2 Protected Attributes</w:t>
      </w:r>
    </w:p>
    <w:p>
      <w:pPr>
        <w:spacing w:before="0" w:after="160"/>
      </w:pPr>
      <w:r>
        <w:rPr>
          <w:rFonts w:ascii="Garamond" w:cs="Garamond" w:eastAsia="Garamond" w:hAnsi="Garamond"/>
          <w:color w:val="5A6A7A"/>
          <w:sz w:val="22"/>
          <w:szCs w:val="22"/>
        </w:rPr>
        <w:t xml:space="preserve">Consistent with FEAT fairness assessment methodology for Southeast Asian financial services, this analysis examines three protected attributes:</w:t>
      </w:r>
    </w:p>
    <w:p>
      <w:pPr>
        <w:pStyle w:val="ListParagraph"/>
        <w:numPr>
          <w:ilvl w:val="0"/>
          <w:numId w:val="2"/>
        </w:numPr>
        <w:spacing w:before="0" w:after="100"/>
      </w:pPr>
      <w:r>
        <w:rPr>
          <w:rFonts w:ascii="Garamond" w:cs="Garamond" w:eastAsia="Garamond" w:hAnsi="Garamond"/>
          <w:b/>
          <w:bCs/>
          <w:color w:val="0C1F3F"/>
          <w:sz w:val="22"/>
          <w:szCs w:val="22"/>
        </w:rPr>
        <w:t xml:space="preserve">Gender: </w:t>
      </w:r>
      <w:r>
        <w:rPr>
          <w:rFonts w:ascii="Garamond" w:cs="Garamond" w:eastAsia="Garamond" w:hAnsi="Garamond"/>
          <w:color w:val="5A6A7A"/>
          <w:sz w:val="22"/>
          <w:szCs w:val="22"/>
        </w:rPr>
        <w:t xml:space="preserve">Female (65.8%), Male (34.2%). Four records with gender ‘XNA’ excluded.</w:t>
      </w:r>
    </w:p>
    <w:p>
      <w:pPr>
        <w:pStyle w:val="ListParagraph"/>
        <w:numPr>
          <w:ilvl w:val="0"/>
          <w:numId w:val="2"/>
        </w:numPr>
        <w:spacing w:before="0" w:after="100"/>
      </w:pPr>
      <w:r>
        <w:rPr>
          <w:rFonts w:ascii="Garamond" w:cs="Garamond" w:eastAsia="Garamond" w:hAnsi="Garamond"/>
          <w:b/>
          <w:bCs/>
          <w:color w:val="0C1F3F"/>
          <w:sz w:val="22"/>
          <w:szCs w:val="22"/>
        </w:rPr>
        <w:t xml:space="preserve">Age: </w:t>
      </w:r>
      <w:r>
        <w:rPr>
          <w:rFonts w:ascii="Garamond" w:cs="Garamond" w:eastAsia="Garamond" w:hAnsi="Garamond"/>
          <w:color w:val="5A6A7A"/>
          <w:sz w:val="22"/>
          <w:szCs w:val="22"/>
        </w:rPr>
        <w:t xml:space="preserve">Derived from DAYS_BIRTH. Grouped into six bands: 18–25, 26–35, 36–45, 46–55, 56–65, 65+. Range: 20–69 years.</w:t>
      </w:r>
    </w:p>
    <w:p>
      <w:pPr>
        <w:pStyle w:val="ListParagraph"/>
        <w:numPr>
          <w:ilvl w:val="0"/>
          <w:numId w:val="2"/>
        </w:numPr>
        <w:spacing w:before="0" w:after="100"/>
      </w:pPr>
      <w:r>
        <w:rPr>
          <w:rFonts w:ascii="Garamond" w:cs="Garamond" w:eastAsia="Garamond" w:hAnsi="Garamond"/>
          <w:b/>
          <w:bCs/>
          <w:color w:val="0C1F3F"/>
          <w:sz w:val="22"/>
          <w:szCs w:val="22"/>
        </w:rPr>
        <w:t xml:space="preserve">Family Status: </w:t>
      </w:r>
      <w:r>
        <w:rPr>
          <w:rFonts w:ascii="Garamond" w:cs="Garamond" w:eastAsia="Garamond" w:hAnsi="Garamond"/>
          <w:color w:val="5A6A7A"/>
          <w:sz w:val="22"/>
          <w:szCs w:val="22"/>
        </w:rPr>
        <w:t xml:space="preserve">Married (63.9%), Single/not married (14.8%), Civil marriage (9.7%), Separated (6.4%), Widow (5.2%). Two records with ‘Unknown’ excluded.</w:t>
      </w:r>
    </w:p>
    <w:p>
      <w:pPr>
        <w:spacing w:before="280" w:after="120"/>
      </w:pPr>
      <w:r>
        <w:rPr>
          <w:rFonts w:ascii="Garamond" w:cs="Garamond" w:eastAsia="Garamond" w:hAnsi="Garamond"/>
          <w:b/>
          <w:bCs/>
          <w:color w:val="1565C0"/>
          <w:sz w:val="24"/>
          <w:szCs w:val="24"/>
        </w:rPr>
        <w:t xml:space="preserve">2.3 Analytical Framework</w:t>
      </w:r>
    </w:p>
    <w:p>
      <w:pPr>
        <w:spacing w:before="0" w:after="160"/>
      </w:pPr>
      <w:r>
        <w:rPr>
          <w:rFonts w:ascii="Garamond" w:cs="Garamond" w:eastAsia="Garamond" w:hAnsi="Garamond"/>
          <w:color w:val="5A6A7A"/>
          <w:sz w:val="22"/>
          <w:szCs w:val="22"/>
        </w:rPr>
        <w:t xml:space="preserve">The analysis applies two complementary approaches:</w:t>
      </w:r>
    </w:p>
    <w:p>
      <w:pPr>
        <w:spacing w:before="0" w:after="160"/>
      </w:pPr>
      <w:r>
        <w:rPr>
          <w:rFonts w:ascii="Garamond" w:cs="Garamond" w:eastAsia="Garamond" w:hAnsi="Garamond"/>
          <w:b/>
          <w:bCs/>
          <w:color w:val="0C1F3F"/>
          <w:sz w:val="22"/>
          <w:szCs w:val="22"/>
        </w:rPr>
        <w:t xml:space="preserve">Outcome Fairness (observed default rates): </w:t>
      </w:r>
      <w:r>
        <w:rPr>
          <w:rFonts w:ascii="Garamond" w:cs="Garamond" w:eastAsia="Garamond" w:hAnsi="Garamond"/>
          <w:color w:val="5A6A7A"/>
          <w:sz w:val="22"/>
          <w:szCs w:val="22"/>
        </w:rPr>
        <w:t xml:space="preserve">Examines whether default rates differ significantly across protected groups. In an approved-only dataset, observed default rates are conditional on origination and may reflect selection effects, credit terms, servicing practices, and macroeconomic exposure at origination — not purely group-level creditworthiness. They are reported as descriptive signals, not standalone fairness determinations.</w:t>
      </w:r>
    </w:p>
    <w:p>
      <w:pPr>
        <w:spacing w:before="0" w:after="160"/>
      </w:pPr>
      <w:r>
        <w:rPr>
          <w:rFonts w:ascii="Garamond" w:cs="Garamond" w:eastAsia="Garamond" w:hAnsi="Garamond"/>
          <w:b/>
          <w:bCs/>
          <w:color w:val="0C1F3F"/>
          <w:sz w:val="22"/>
          <w:szCs w:val="22"/>
        </w:rPr>
        <w:t xml:space="preserve">Predictive Fairness (simulated approval rates): </w:t>
      </w:r>
      <w:r>
        <w:rPr>
          <w:rFonts w:ascii="Garamond" w:cs="Garamond" w:eastAsia="Garamond" w:hAnsi="Garamond"/>
          <w:color w:val="5A6A7A"/>
          <w:sz w:val="22"/>
          <w:szCs w:val="22"/>
        </w:rPr>
        <w:t xml:space="preserve">A logistic regression risk model was trained on non-protected features (income, credit amount, annuity, employment duration, external credit scores, and other financial attributes). The model produces a predicted default probability for each applicant. A threshold of 0.10 was applied (applicants with predicted default probability below 10% are ‘approved’), yielding an overall approval rate of 74.4%. The four-fifths (80%) rule is then applied to simulated approval rates across protected groups.</w:t>
      </w:r>
    </w:p>
    <w:p>
      <w:pPr>
        <w:spacing w:before="0" w:after="160"/>
      </w:pPr>
      <w:r>
        <w:rPr>
          <w:rFonts w:ascii="Garamond" w:cs="Garamond" w:eastAsia="Garamond" w:hAnsi="Garamond"/>
          <w:color w:val="5A6A7A"/>
          <w:sz w:val="22"/>
          <w:szCs w:val="22"/>
        </w:rPr>
        <w:t xml:space="preserve">The Impact Ratio (IR) is calculated as: IR = Approval Rate (test group) ÷ Approval Rate (reference group). An IR below 0.80 indicates potential adverse impact. The reference group is the group with the highest approval 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1565C0" w:sz="6"/>
              <w:left w:val="single" w:color="1565C0" w:sz="6"/>
              <w:bottom w:val="single" w:color="1565C0" w:sz="6"/>
              <w:right w:val="single" w:color="1565C0" w:sz="6"/>
            </w:tcBorders>
            <w:shd w:fill="E3F2FD" w:val="clear"/>
            <w:tcMar>
              <w:top w:type="dxa" w:w="120"/>
              <w:left w:type="dxa" w:w="200"/>
              <w:bottom w:type="dxa" w:w="120"/>
              <w:right w:type="dxa" w:w="200"/>
            </w:tcMar>
          </w:tcPr>
          <w:p>
            <w:pPr>
              <w:spacing w:before="0" w:after="0"/>
            </w:pPr>
            <w:r>
              <w:rPr>
                <w:rFonts w:ascii="Garamond" w:cs="Garamond" w:eastAsia="Garamond" w:hAnsi="Garamond"/>
                <w:b/>
                <w:bCs/>
                <w:color w:val="1565C0"/>
                <w:sz w:val="22"/>
                <w:szCs w:val="22"/>
              </w:rPr>
              <w:t xml:space="preserve">PASS / WATCH / FAIL labels. </w:t>
            </w:r>
            <w:r>
              <w:rPr>
                <w:rFonts w:ascii="Garamond" w:cs="Garamond" w:eastAsia="Garamond" w:hAnsi="Garamond"/>
                <w:color w:val="5A6A7A"/>
                <w:sz w:val="22"/>
                <w:szCs w:val="22"/>
              </w:rPr>
              <w:t xml:space="preserve">These are Minerva internal triage labels used to indicate investigation priority. They are not defined by FEAT, MAS, AI Verify, or any regulatory standard. PASS (IR ≥ 0.85): no adverse impact detected at this threshold. WATCH (0.80 ≤ IR &lt; 0.85): above the four-fifths threshold but approaching it; recommended for ongoing monitoring. FAIL (IR &lt; 0.80): below the four-fifths threshold; warrants further investigation. The four-fifths rule itself originates from the U.S. EEOC Uniform Guidelines and is used here as a quantitative screening benchmark, not a regulatory requirement under FEAT.</w:t>
            </w:r>
          </w:p>
        </w:tc>
      </w:tr>
    </w:tbl>
    <w:p>
      <w:pPr>
        <w:spacing w:before="280" w:after="120"/>
      </w:pPr>
      <w:r>
        <w:rPr>
          <w:rFonts w:ascii="Garamond" w:cs="Garamond" w:eastAsia="Garamond" w:hAnsi="Garamond"/>
          <w:b/>
          <w:bCs/>
          <w:color w:val="1565C0"/>
          <w:sz w:val="24"/>
          <w:szCs w:val="24"/>
        </w:rPr>
        <w:t xml:space="preserve">2.4 Limitations</w:t>
      </w:r>
    </w:p>
    <w:p>
      <w:pPr>
        <w:spacing w:before="0" w:after="160"/>
      </w:pPr>
      <w:r>
        <w:rPr>
          <w:rFonts w:ascii="Garamond" w:cs="Garamond" w:eastAsia="Garamond" w:hAnsi="Garamond"/>
          <w:b/>
          <w:bCs/>
          <w:color w:val="0C1F3F"/>
          <w:sz w:val="22"/>
          <w:szCs w:val="22"/>
        </w:rPr>
        <w:t xml:space="preserve">Approved-only dataset (selection bias). </w:t>
      </w:r>
      <w:r>
        <w:rPr>
          <w:rFonts w:ascii="Garamond" w:cs="Garamond" w:eastAsia="Garamond" w:hAnsi="Garamond"/>
          <w:color w:val="5A6A7A"/>
          <w:sz w:val="22"/>
          <w:szCs w:val="22"/>
        </w:rPr>
        <w:t xml:space="preserve">This dataset contains only originated loans. Applicants who were rejected at underwriting are not present. This creates a selection bias: the observed population is already filtered by the lender’s original approval criteria, which may themselves have contained demographic disparities. Simulated approval rates in this report reflect model behavior on a pre-selected population, not on the full applicant pool. In a production FEAT assessment, the preferred approach is to analyze the complete application funnel (applications received, approved, and declined). Where declined data is unavailable, reject-inference techniques should be documented and their limitations disclosed.</w:t>
      </w:r>
    </w:p>
    <w:p>
      <w:pPr>
        <w:spacing w:before="0" w:after="160"/>
      </w:pPr>
      <w:r>
        <w:rPr>
          <w:rFonts w:ascii="Garamond" w:cs="Garamond" w:eastAsia="Garamond" w:hAnsi="Garamond"/>
          <w:color w:val="5A6A7A"/>
          <w:sz w:val="22"/>
          <w:szCs w:val="22"/>
        </w:rPr>
        <w:t xml:space="preserve">The dataset does not include race, ethnicity, or nationality — attributes that may be relevant in certain FEAT assessments but are not available in this data.</w:t>
      </w:r>
    </w:p>
    <w:p>
      <w:pPr>
        <w:spacing w:before="0" w:after="160"/>
      </w:pPr>
      <w:r>
        <w:rPr>
          <w:rFonts w:ascii="Garamond" w:cs="Garamond" w:eastAsia="Garamond" w:hAnsi="Garamond"/>
          <w:color w:val="5A6A7A"/>
          <w:sz w:val="22"/>
          <w:szCs w:val="22"/>
        </w:rPr>
        <w:t xml:space="preserve">The simulated risk model is a logistic regression trained for the purpose of this fairness assessment. It is not a production model and should not be interpreted as representative of Home Credit Group’s actual underwriting methodology. The model uses external credit score features (EXT_SOURCE_1, EXT_SOURCE_2, EXT_SOURCE_3) whose derivation is not documented; these features are the strongest predictors in the model and may themselves encode demographic correlations. An ablation analysis is provided in Section 4.4.</w:t>
      </w:r>
    </w:p>
    <w:p>
      <w:pPr>
        <w:spacing w:before="0" w:after="160"/>
      </w:pPr>
      <w:r>
        <w:rPr>
          <w:rFonts w:ascii="Garamond" w:cs="Garamond" w:eastAsia="Garamond" w:hAnsi="Garamond"/>
          <w:color w:val="5A6A7A"/>
          <w:sz w:val="22"/>
          <w:szCs w:val="22"/>
        </w:rPr>
        <w:t xml:space="preserve">The four-fifths rule is a screening tool for identifying potential adverse impact, not a determination of discrimination. Observed disparities may reflect legitimate differences in creditworthiness, risk profile, or other factors. A finding that a group falls below the threshold warrants further investigation but is not, by itself, evidence of unfair treatment.</w:t>
      </w:r>
    </w:p>
    <w:p>
      <w:pPr>
        <w:spacing w:before="0" w:after="160"/>
      </w:pPr>
      <w:r>
        <w:rPr>
          <w:rFonts w:ascii="Garamond" w:cs="Garamond" w:eastAsia="Garamond" w:hAnsi="Garamond"/>
          <w:color w:val="5A6A7A"/>
          <w:sz w:val="22"/>
          <w:szCs w:val="22"/>
        </w:rPr>
        <w:t xml:space="preserve">This report is aligned to the FEAT Fairness Principles and the AI Verify Testing Framework (see mapping in Section 7.4) but does not constitute a formal FEAT assessment submission. It demonstrates the methodology that would be applied in a client engagement.</w:t>
      </w:r>
    </w:p>
    <w:p>
      <w:pPr>
        <w:spacing w:before="280" w:after="120"/>
      </w:pPr>
      <w:r>
        <w:rPr>
          <w:rFonts w:ascii="Garamond" w:cs="Garamond" w:eastAsia="Garamond" w:hAnsi="Garamond"/>
          <w:b/>
          <w:bCs/>
          <w:color w:val="1565C0"/>
          <w:sz w:val="24"/>
          <w:szCs w:val="24"/>
        </w:rPr>
        <w:t xml:space="preserve">2.5 Statistical Methods</w:t>
      </w:r>
    </w:p>
    <w:p>
      <w:pPr>
        <w:spacing w:before="0" w:after="160"/>
      </w:pPr>
      <w:r>
        <w:rPr>
          <w:rFonts w:ascii="Garamond" w:cs="Garamond" w:eastAsia="Garamond" w:hAnsi="Garamond"/>
          <w:color w:val="5A6A7A"/>
          <w:sz w:val="22"/>
          <w:szCs w:val="22"/>
        </w:rPr>
        <w:t xml:space="preserve">Group-level differences in simulated approval rates were tested using two-proportion z-tests. Ten comparisons were performed: 1 gender comparison (F vs M), 5 age-group comparisons (each vs 65+ reference), and 4 family-status comparisons (each vs Widow reference). The Benjamini–Hochberg (BH) procedure was applied at α = 0.05 to control the false discovery rate across all 10 tests. All 10 comparisons remain statistically significant after BH correction (all adjusted p &lt; 0.001). Confidence intervals are two-sided 95% intervals based on the normal approximation to the binomial. BH correction is applied to primary single-attribute rate comparisons only; intersectional results (Section 5) and error-rate parity metrics (Section 4.1) are reported as descriptive diagnostics and should be formally tested in a full production assessment.</w:t>
      </w:r>
    </w:p>
    <w:p>
      <w:pPr>
        <w:pBdr>
          <w:bottom w:val="single" w:color="1565C0" w:sz="4" w:space="8"/>
        </w:pBdr>
        <w:spacing w:before="360" w:after="200"/>
      </w:pPr>
      <w:r>
        <w:rPr>
          <w:rFonts w:ascii="Garamond" w:cs="Garamond" w:eastAsia="Garamond" w:hAnsi="Garamond"/>
          <w:b/>
          <w:bCs/>
          <w:color w:val="0C1F3F"/>
          <w:sz w:val="28"/>
          <w:szCs w:val="28"/>
        </w:rPr>
        <w:t xml:space="preserve">3. Findings: Observed Default Rates</w:t>
      </w:r>
    </w:p>
    <w:p>
      <w:pPr>
        <w:spacing w:before="280" w:after="120"/>
      </w:pPr>
      <w:r>
        <w:rPr>
          <w:rFonts w:ascii="Garamond" w:cs="Garamond" w:eastAsia="Garamond" w:hAnsi="Garamond"/>
          <w:b/>
          <w:bCs/>
          <w:color w:val="1565C0"/>
          <w:sz w:val="24"/>
          <w:szCs w:val="24"/>
        </w:rPr>
        <w:t xml:space="preserve">3.1 Default Rates by Gender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Gender</w:t>
            </w:r>
          </w:p>
        </w:tc>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Applications</w:t>
            </w:r>
          </w:p>
        </w:tc>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Defaults</w:t>
            </w:r>
          </w:p>
        </w:tc>
        <w:tc>
          <w:tcPr>
            <w:tcW w:type="dxa" w:w="216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Default Rate</w:t>
            </w:r>
          </w:p>
        </w:tc>
      </w:tr>
      <w:tr>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Female</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202,447</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14,170</w:t>
            </w:r>
          </w:p>
        </w:tc>
        <w:tc>
          <w:tcPr>
            <w:tcW w:type="dxa" w:w="21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7.00%</w:t>
            </w:r>
          </w:p>
        </w:tc>
      </w:tr>
      <w:tr>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Male</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105,058</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10,655</w:t>
            </w:r>
          </w:p>
        </w:tc>
        <w:tc>
          <w:tcPr>
            <w:tcW w:type="dxa" w:w="21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5A6A7A"/>
                <w:sz w:val="20"/>
                <w:szCs w:val="20"/>
              </w:rPr>
              <w:t xml:space="preserve">10.14%</w:t>
            </w:r>
          </w:p>
        </w:tc>
      </w:tr>
    </w:tbl>
    <w:p>
      <w:pPr>
        <w:spacing w:before="0" w:after="160"/>
      </w:pPr>
      <w:r>
        <w:rPr>
          <w:rFonts w:ascii="Garamond" w:cs="Garamond" w:eastAsia="Garamond" w:hAnsi="Garamond"/>
          <w:color w:val="5A6A7A"/>
          <w:sz w:val="22"/>
          <w:szCs w:val="22"/>
        </w:rPr>
        <w:t xml:space="preserve">In this dataset, male borrowers default at 1.45x the rate of female borrowers. This observed difference is highly statistically significant (p &lt; 0.001 after BH correction). Observed default differences can reflect a mixture of creditworthiness, product design, servicing practices, and structural factors; institutions should review policy and product context alongside these figures.</w:t>
      </w:r>
    </w:p>
    <w:p>
      <w:pPr>
        <w:spacing w:before="280" w:after="120"/>
      </w:pPr>
      <w:r>
        <w:rPr>
          <w:rFonts w:ascii="Garamond" w:cs="Garamond" w:eastAsia="Garamond" w:hAnsi="Garamond"/>
          <w:b/>
          <w:bCs/>
          <w:color w:val="1565C0"/>
          <w:sz w:val="24"/>
          <w:szCs w:val="24"/>
        </w:rPr>
        <w:t xml:space="preserve">3.2 Default Rates by Age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400"/>
        <w:gridCol w:w="2560"/>
      </w:tblGrid>
      <w:tr>
        <w:tc>
          <w:tcPr>
            <w:tcW w:type="dxa" w:w="20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Age Group</w:t>
            </w:r>
          </w:p>
        </w:tc>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Applications</w:t>
            </w:r>
          </w:p>
        </w:tc>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Defaults</w:t>
            </w:r>
          </w:p>
        </w:tc>
        <w:tc>
          <w:tcPr>
            <w:tcW w:type="dxa" w:w="256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Default Rate</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18–25</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16,409</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1,926</w:t>
            </w:r>
          </w:p>
        </w:tc>
        <w:tc>
          <w:tcPr>
            <w:tcW w:type="dxa" w:w="2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11.74%</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26–35</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76,003</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8,042</w:t>
            </w:r>
          </w:p>
        </w:tc>
        <w:tc>
          <w:tcPr>
            <w:tcW w:type="dxa" w:w="2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10.58%</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36–45</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83,769</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6,894</w:t>
            </w:r>
          </w:p>
        </w:tc>
        <w:tc>
          <w:tcPr>
            <w:tcW w:type="dxa" w:w="2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8.23%</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46–55</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69,461</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4,766</w:t>
            </w:r>
          </w:p>
        </w:tc>
        <w:tc>
          <w:tcPr>
            <w:tcW w:type="dxa" w:w="2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6.86%</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56–65</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56,988</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3,031</w:t>
            </w:r>
          </w:p>
        </w:tc>
        <w:tc>
          <w:tcPr>
            <w:tcW w:type="dxa" w:w="2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5.32%</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65+</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4,875</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166</w:t>
            </w:r>
          </w:p>
        </w:tc>
        <w:tc>
          <w:tcPr>
            <w:tcW w:type="dxa" w:w="2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3.41%</w:t>
            </w:r>
          </w:p>
        </w:tc>
      </w:tr>
    </w:tbl>
    <w:p>
      <w:pPr>
        <w:spacing w:before="0" w:after="160"/>
      </w:pPr>
      <w:r>
        <w:rPr>
          <w:rFonts w:ascii="Garamond" w:cs="Garamond" w:eastAsia="Garamond" w:hAnsi="Garamond"/>
          <w:color w:val="5A6A7A"/>
          <w:sz w:val="22"/>
          <w:szCs w:val="22"/>
        </w:rPr>
        <w:t xml:space="preserve">In this dataset, observed default rates decline monotonically with age. Borrowers aged 18–25 default at 3.4x the rate of borrowers aged 65+. This age-default gradient is the dominant pattern in the data. Observed default differences can reflect a combination of credit experience, income trajectory, product mix, and macroeconomic exposure at origination; they should not be interpreted as purely indicative of underlying creditworthiness differences between age groups.</w:t>
      </w:r>
    </w:p>
    <w:p>
      <w:pPr>
        <w:pBdr>
          <w:bottom w:val="single" w:color="1565C0" w:sz="4" w:space="8"/>
        </w:pBdr>
        <w:spacing w:before="360" w:after="200"/>
      </w:pPr>
      <w:r>
        <w:rPr>
          <w:rFonts w:ascii="Garamond" w:cs="Garamond" w:eastAsia="Garamond" w:hAnsi="Garamond"/>
          <w:b/>
          <w:bCs/>
          <w:color w:val="0C1F3F"/>
          <w:sz w:val="28"/>
          <w:szCs w:val="28"/>
        </w:rPr>
        <w:t xml:space="preserve">4. Findings: Simulated Approval Rates</w:t>
      </w:r>
    </w:p>
    <w:p>
      <w:pPr>
        <w:spacing w:before="280" w:after="120"/>
      </w:pPr>
      <w:r>
        <w:rPr>
          <w:rFonts w:ascii="Garamond" w:cs="Garamond" w:eastAsia="Garamond" w:hAnsi="Garamond"/>
          <w:b/>
          <w:bCs/>
          <w:color w:val="1565C0"/>
          <w:sz w:val="24"/>
          <w:szCs w:val="24"/>
        </w:rPr>
        <w:t xml:space="preserve">4.1 Gender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200"/>
        <w:gridCol w:w="1600"/>
        <w:gridCol w:w="1360"/>
      </w:tblGrid>
      <w:tr>
        <w:tc>
          <w:tcPr>
            <w:tcW w:type="dxa" w:w="20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Gender</w:t>
            </w:r>
          </w:p>
        </w:tc>
        <w:tc>
          <w:tcPr>
            <w:tcW w:type="dxa" w:w="22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Applications</w:t>
            </w:r>
          </w:p>
        </w:tc>
        <w:tc>
          <w:tcPr>
            <w:tcW w:type="dxa" w:w="22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Approval Rate</w:t>
            </w:r>
          </w:p>
        </w:tc>
        <w:tc>
          <w:tcPr>
            <w:tcW w:type="dxa" w:w="16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Impact Ratio</w:t>
            </w:r>
          </w:p>
        </w:tc>
        <w:tc>
          <w:tcPr>
            <w:tcW w:type="dxa" w:w="136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Status</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Female (ref)</w:t>
            </w:r>
          </w:p>
        </w:tc>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202,447</w:t>
            </w:r>
          </w:p>
        </w:tc>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76.70%</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1.000</w:t>
            </w:r>
          </w:p>
        </w:tc>
        <w:tc>
          <w:tcPr>
            <w:tcW w:type="dxa" w:w="13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Male</w:t>
            </w:r>
          </w:p>
        </w:tc>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105,058</w:t>
            </w:r>
          </w:p>
        </w:tc>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70.03%</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0.913</w:t>
            </w:r>
          </w:p>
        </w:tc>
        <w:tc>
          <w:tcPr>
            <w:tcW w:type="dxa" w:w="13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bl>
    <w:p>
      <w:pPr>
        <w:spacing w:before="0" w:after="160"/>
      </w:pPr>
      <w:r>
        <w:rPr>
          <w:rFonts w:ascii="Garamond" w:cs="Garamond" w:eastAsia="Garamond" w:hAnsi="Garamond"/>
          <w:color w:val="5A6A7A"/>
          <w:sz w:val="22"/>
          <w:szCs w:val="22"/>
        </w:rPr>
        <w:t xml:space="preserve">Gender passes the four-fifths rule (IR = 0.913). The 6.7 percentage point gap is statistically significant (two-proportion z-test, z = 40.17, p &lt; 0.001; remains significant after BH correction across 10 group comparisons). 95% confidence intervals: Female 76.51–76.88%, Male 69.75–70.31%. The gap warrants monitoring under FEAT Principle F2 (Individual Fairness).</w:t>
      </w:r>
    </w:p>
    <w:p>
      <w:pPr>
        <w:spacing w:before="0" w:after="160"/>
      </w:pPr>
      <w:r>
        <w:rPr>
          <w:rFonts w:ascii="Garamond" w:cs="Garamond" w:eastAsia="Garamond" w:hAnsi="Garamond"/>
          <w:b/>
          <w:bCs/>
          <w:color w:val="0C1F3F"/>
          <w:sz w:val="22"/>
          <w:szCs w:val="22"/>
        </w:rPr>
        <w:t xml:space="preserve">Error-rate parity: </w:t>
      </w:r>
      <w:r>
        <w:rPr>
          <w:rFonts w:ascii="Garamond" w:cs="Garamond" w:eastAsia="Garamond" w:hAnsi="Garamond"/>
          <w:color w:val="5A6A7A"/>
          <w:sz w:val="22"/>
          <w:szCs w:val="22"/>
        </w:rPr>
        <w:t xml:space="preserve">The model’s false positive rate (flagging non-defaulters as risky) is 21.1% for women and 26.9% for men. Its false negative rate (missing actual defaulters) is 47.0% for women and 42.6% for men. Men face higher false-positive burden; women face higher false-negative burden.</w:t>
      </w:r>
    </w:p>
    <w:p>
      <w:pPr>
        <w:spacing w:before="280" w:after="120"/>
      </w:pPr>
      <w:r>
        <w:rPr>
          <w:rFonts w:ascii="Garamond" w:cs="Garamond" w:eastAsia="Garamond" w:hAnsi="Garamond"/>
          <w:b/>
          <w:bCs/>
          <w:color w:val="1565C0"/>
          <w:sz w:val="24"/>
          <w:szCs w:val="24"/>
        </w:rPr>
        <w:t xml:space="preserve">4.2 Age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000"/>
        <w:gridCol w:w="1800"/>
        <w:gridCol w:w="1760"/>
      </w:tblGrid>
      <w:tr>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Age Group</w:t>
            </w:r>
          </w:p>
        </w:tc>
        <w:tc>
          <w:tcPr>
            <w:tcW w:type="dxa" w:w="20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Applications</w:t>
            </w:r>
          </w:p>
        </w:tc>
        <w:tc>
          <w:tcPr>
            <w:tcW w:type="dxa" w:w="20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Approval Rate</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Impact Ratio</w:t>
            </w:r>
          </w:p>
        </w:tc>
        <w:tc>
          <w:tcPr>
            <w:tcW w:type="dxa" w:w="176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Status</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18–25</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16,409</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44.28%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0.486</w:t>
            </w:r>
          </w:p>
        </w:tc>
        <w:tc>
          <w:tcPr>
            <w:tcW w:type="dxa" w:w="17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FAIL</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26–35</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76,003</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61.83%</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0.679</w:t>
            </w:r>
          </w:p>
        </w:tc>
        <w:tc>
          <w:tcPr>
            <w:tcW w:type="dxa" w:w="17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FAIL</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36–45</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83,769</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75.70%</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E65100"/>
                <w:sz w:val="20"/>
                <w:szCs w:val="20"/>
              </w:rPr>
              <w:t xml:space="preserve">0.831</w:t>
            </w:r>
          </w:p>
        </w:tc>
        <w:tc>
          <w:tcPr>
            <w:tcW w:type="dxa" w:w="17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E65100"/>
                <w:sz w:val="20"/>
                <w:szCs w:val="20"/>
              </w:rPr>
              <w:t xml:space="preserve">WATCH</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46–55</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69,461</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81.77%</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0.898</w:t>
            </w:r>
          </w:p>
        </w:tc>
        <w:tc>
          <w:tcPr>
            <w:tcW w:type="dxa" w:w="17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56–65</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56,988</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87.61%</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0.962</w:t>
            </w:r>
          </w:p>
        </w:tc>
        <w:tc>
          <w:tcPr>
            <w:tcW w:type="dxa" w:w="17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65+ (ref)</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4,875</w:t>
            </w:r>
          </w:p>
        </w:tc>
        <w:tc>
          <w:tcPr>
            <w:tcW w:type="dxa" w:w="20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91.06%</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1.000</w:t>
            </w:r>
          </w:p>
        </w:tc>
        <w:tc>
          <w:tcPr>
            <w:tcW w:type="dxa" w:w="17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bl>
    <w:p>
      <w:pPr>
        <w:spacing w:before="0" w:after="160"/>
      </w:pPr>
      <w:r>
        <w:rPr>
          <w:rFonts w:ascii="Garamond" w:cs="Garamond" w:eastAsia="Garamond" w:hAnsi="Garamond"/>
          <w:b/>
          <w:bCs/>
          <w:color w:val="0C1F3F"/>
          <w:sz w:val="22"/>
          <w:szCs w:val="22"/>
        </w:rPr>
        <w:t xml:space="preserve">Critical finding: </w:t>
      </w:r>
      <w:r>
        <w:rPr>
          <w:rFonts w:ascii="Garamond" w:cs="Garamond" w:eastAsia="Garamond" w:hAnsi="Garamond"/>
          <w:color w:val="5A6A7A"/>
          <w:sz w:val="22"/>
          <w:szCs w:val="22"/>
        </w:rPr>
        <w:t xml:space="preserve">Two age groups fail the four-fifths rule by wide margins. Borrowers aged 18–25 (IR = 0.486) and 26–35 (IR = 0.679) are approved at roughly half and two-thirds the rate of the reference group, respectively. Together, these groups represent 92,412 applicants — 30% of the dataset.</w:t>
      </w:r>
    </w:p>
    <w:p>
      <w:pPr>
        <w:spacing w:before="280" w:after="120"/>
      </w:pPr>
      <w:r>
        <w:rPr>
          <w:rFonts w:ascii="Garamond" w:cs="Garamond" w:eastAsia="Garamond" w:hAnsi="Garamond"/>
          <w:b/>
          <w:bCs/>
          <w:color w:val="1565C0"/>
          <w:sz w:val="24"/>
          <w:szCs w:val="24"/>
        </w:rPr>
        <w:t xml:space="preserve">4.3 Robustness Check: Alternative Reference Groups</w:t>
      </w:r>
    </w:p>
    <w:p>
      <w:pPr>
        <w:spacing w:before="0" w:after="160"/>
      </w:pPr>
      <w:r>
        <w:rPr>
          <w:rFonts w:ascii="Garamond" w:cs="Garamond" w:eastAsia="Garamond" w:hAnsi="Garamond"/>
          <w:color w:val="5A6A7A"/>
          <w:sz w:val="22"/>
          <w:szCs w:val="22"/>
        </w:rPr>
        <w:t xml:space="preserve">The 65+ reference group (N = 4,875) is the smallest age band, which raises the question of whether the adverse impact findings are sensitive to reference group choice. The table below compares Impact Ratios using three reference groups: 65+ (highest approval rate, current approach), 46–55 (large, high-approval group, N = 69,461), and 36–45 (largest group, N = 83,769).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920"/>
        <w:gridCol w:w="1920"/>
        <w:gridCol w:w="1920"/>
      </w:tblGrid>
      <w:tr>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Age Group</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Approval Rate</w:t>
            </w:r>
          </w:p>
        </w:tc>
        <w:tc>
          <w:tcPr>
            <w:tcW w:type="dxa" w:w="19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IR (vs 65+)</w:t>
            </w:r>
          </w:p>
        </w:tc>
        <w:tc>
          <w:tcPr>
            <w:tcW w:type="dxa" w:w="19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IR (vs 46–55)</w:t>
            </w:r>
          </w:p>
        </w:tc>
        <w:tc>
          <w:tcPr>
            <w:tcW w:type="dxa" w:w="19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IR (vs 36–45)</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18–25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44.28%</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0.486 FAIL</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0.542 FAIL</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0.585 FAIL</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26–35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61.83%</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0.679 FAIL</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0.756 FAIL</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E65100"/>
                <w:sz w:val="20"/>
                <w:szCs w:val="20"/>
              </w:rPr>
              <w:t xml:space="preserve">0.817 PASS</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36–45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75.70%</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E65100"/>
                <w:sz w:val="20"/>
                <w:szCs w:val="20"/>
              </w:rPr>
              <w:t xml:space="preserve">0.831 WATCH</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0.926 PASS</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1.000 ref</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46–55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81.77%</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0.898 PASS</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1.000 ref</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1.080 PASS</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56–65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87.61%</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0.962 PASS</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1.071 PASS</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1.157 PASS</w:t>
            </w:r>
          </w:p>
        </w:tc>
      </w:tr>
      <w:tr>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65+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91.06%</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1.000 ref</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1.114 PASS</w:t>
            </w:r>
          </w:p>
        </w:tc>
        <w:tc>
          <w:tcPr>
            <w:tcW w:type="dxa" w:w="19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1.203 PASS</w:t>
            </w:r>
          </w:p>
        </w:tc>
      </w:tr>
    </w:tbl>
    <w:p>
      <w:pPr>
        <w:spacing w:before="0" w:after="160"/>
      </w:pPr>
      <w:r>
        <w:rPr>
          <w:rFonts w:ascii="Garamond" w:cs="Garamond" w:eastAsia="Garamond" w:hAnsi="Garamond"/>
          <w:b/>
          <w:bCs/>
          <w:color w:val="0C1F3F"/>
          <w:sz w:val="22"/>
          <w:szCs w:val="22"/>
        </w:rPr>
        <w:t xml:space="preserve">The 18–25 group fails the four-fifths rule under all three reference group choices. </w:t>
      </w:r>
      <w:r>
        <w:rPr>
          <w:rFonts w:ascii="Garamond" w:cs="Garamond" w:eastAsia="Garamond" w:hAnsi="Garamond"/>
          <w:color w:val="5A6A7A"/>
          <w:sz w:val="22"/>
          <w:szCs w:val="22"/>
        </w:rPr>
        <w:t xml:space="preserve">The 18–25 group fails the four-fifths rule under all three reference group choices — this finding is robust. The 26–35 group fails under conservative references (65+ and 46–55) but sits near the threshold with 36–45 as reference. For the 26–35 group, the finding is material but reference-sensitive; in a production assessment, the choice of reference group should be documented and justified.</w:t>
      </w:r>
    </w:p>
    <w:p>
      <w:pPr>
        <w:spacing w:before="280" w:after="120"/>
      </w:pPr>
      <w:r>
        <w:rPr>
          <w:rFonts w:ascii="Garamond" w:cs="Garamond" w:eastAsia="Garamond" w:hAnsi="Garamond"/>
          <w:b/>
          <w:bCs/>
          <w:color w:val="1565C0"/>
          <w:sz w:val="24"/>
          <w:szCs w:val="24"/>
        </w:rPr>
        <w:t xml:space="preserve">4.4 Ablation Test: Impact of External Credit Score Features</w:t>
      </w:r>
    </w:p>
    <w:p>
      <w:pPr>
        <w:spacing w:before="0" w:after="160"/>
      </w:pPr>
      <w:r>
        <w:rPr>
          <w:rFonts w:ascii="Garamond" w:cs="Garamond" w:eastAsia="Garamond" w:hAnsi="Garamond"/>
          <w:color w:val="5A6A7A"/>
          <w:sz w:val="22"/>
          <w:szCs w:val="22"/>
        </w:rPr>
        <w:t xml:space="preserve">The three external credit score features (EXT_SOURCE_1, EXT_SOURCE_2, EXT_SOURCE_3) are the model’s strongest predictors. Their derivation is not documented in the public dataset. To assess their fairness impact, we retrained the model without these features and compared performance and adverse impact.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Metric</w:t>
            </w:r>
          </w:p>
        </w:tc>
        <w:tc>
          <w:tcPr>
            <w:tcW w:type="dxa" w:w="31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Full Model</w:t>
            </w:r>
          </w:p>
        </w:tc>
        <w:tc>
          <w:tcPr>
            <w:tcW w:type="dxa" w:w="31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Without EXT_SOURCE</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AUC (discriminative power)</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0.726</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5A6A7A"/>
                <w:sz w:val="20"/>
                <w:szCs w:val="20"/>
              </w:rPr>
              <w:t xml:space="preserve">0.620</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Overall approval rate</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74.4%</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74.0%</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Gender IR (M vs F)</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0.913 PASS</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0.891 PASS</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Age IR: 18–25 vs 65+</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C62828"/>
                <w:sz w:val="20"/>
                <w:szCs w:val="20"/>
              </w:rPr>
              <w:t xml:space="preserve">0.486 FAIL</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0.180 FAIL</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Age IR: 26–35 vs 65+</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C62828"/>
                <w:sz w:val="20"/>
                <w:szCs w:val="20"/>
              </w:rPr>
              <w:t xml:space="preserve">0.679 FAIL</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0.419 FAIL</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Age IR: 36–45 vs 65+</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E65100"/>
                <w:sz w:val="20"/>
                <w:szCs w:val="20"/>
              </w:rPr>
              <w:t xml:space="preserve">0.831 WATCH</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0.776 FAIL</w:t>
            </w:r>
          </w:p>
        </w:tc>
      </w:tr>
    </w:tbl>
    <w:p>
      <w:pPr>
        <w:spacing w:before="0" w:after="160"/>
      </w:pPr>
      <w:r>
        <w:rPr>
          <w:rFonts w:ascii="Garamond" w:cs="Garamond" w:eastAsia="Garamond" w:hAnsi="Garamond"/>
          <w:b/>
          <w:bCs/>
          <w:color w:val="0C1F3F"/>
          <w:sz w:val="22"/>
          <w:szCs w:val="22"/>
        </w:rPr>
        <w:t xml:space="preserve">Key finding: </w:t>
      </w:r>
      <w:r>
        <w:rPr>
          <w:rFonts w:ascii="Garamond" w:cs="Garamond" w:eastAsia="Garamond" w:hAnsi="Garamond"/>
          <w:color w:val="5A6A7A"/>
          <w:sz w:val="22"/>
          <w:szCs w:val="22"/>
        </w:rPr>
        <w:t xml:space="preserve">Removing EXT_SOURCE features reduces AUC by 0.106 (a substantial loss in discriminative power) and dramatically worsens age-based adverse impact. The 18–25 IR drops from 0.486 to 0.180; the 36–45 group moves from WATCH to FAIL. In this simulation, the EXT_SOURCE features reduce measured age-based disparity. However, their provenance is undocumented: they could embed or proxy demographic effects that happen to correlate with lower measured disparity without reflecting genuine risk differentiation. The gender IR also worsens slightly without them (0.913 to 0.891), suggesting they may encode some gender-correlated signal. No normative conclusion about these features is possible without a full provenance audit.</w:t>
      </w:r>
    </w:p>
    <w:p>
      <w:pPr>
        <w:spacing w:before="0" w:after="160"/>
      </w:pPr>
      <w:r>
        <w:rPr>
          <w:rFonts w:ascii="Garamond" w:cs="Garamond" w:eastAsia="Garamond" w:hAnsi="Garamond"/>
          <w:b/>
          <w:bCs/>
          <w:color w:val="0C1F3F"/>
          <w:sz w:val="22"/>
          <w:szCs w:val="22"/>
        </w:rPr>
        <w:t xml:space="preserve">Recommendation: </w:t>
      </w:r>
      <w:r>
        <w:rPr>
          <w:rFonts w:ascii="Garamond" w:cs="Garamond" w:eastAsia="Garamond" w:hAnsi="Garamond"/>
          <w:color w:val="5A6A7A"/>
          <w:sz w:val="22"/>
          <w:szCs w:val="22"/>
        </w:rPr>
        <w:t xml:space="preserve">In a production assessment, the derivation and demographic correlations of external credit score features should be documented and tested. A feature-level fairness decomposition (e.g., SHAP-based attribution by protected group) would clarify whether these features introduce, amplify, or mitigate demographic disparities.</w:t>
      </w:r>
    </w:p>
    <w:p>
      <w:pPr>
        <w:spacing w:before="280" w:after="120"/>
      </w:pPr>
      <w:r>
        <w:rPr>
          <w:rFonts w:ascii="Garamond" w:cs="Garamond" w:eastAsia="Garamond" w:hAnsi="Garamond"/>
          <w:b/>
          <w:bCs/>
          <w:color w:val="1565C0"/>
          <w:sz w:val="24"/>
          <w:szCs w:val="24"/>
        </w:rPr>
        <w:t xml:space="preserve">4.5 Family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800"/>
        <w:gridCol w:w="1800"/>
        <w:gridCol w:w="1560"/>
      </w:tblGrid>
      <w:tr>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Family Status</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Applications</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Approval Rate</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Impact Ratio</w:t>
            </w:r>
          </w:p>
        </w:tc>
        <w:tc>
          <w:tcPr>
            <w:tcW w:type="dxa" w:w="156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Status</w:t>
            </w:r>
          </w:p>
        </w:tc>
      </w:tr>
      <w:tr>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Widow (ref)</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16,088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84.48%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1.000</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Separated</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19,770</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76.78%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0.909</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Married</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196,429</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75.59%</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0.895</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Civil marriage</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29,774</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69.98%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0.828</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Single / not married</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45,444</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67.68%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0.801</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bl>
    <w:p>
      <w:pPr>
        <w:spacing w:before="0" w:after="160"/>
      </w:pPr>
      <w:r>
        <w:rPr>
          <w:rFonts w:ascii="Garamond" w:cs="Garamond" w:eastAsia="Garamond" w:hAnsi="Garamond"/>
          <w:color w:val="5A6A7A"/>
          <w:sz w:val="22"/>
          <w:szCs w:val="22"/>
        </w:rPr>
        <w:t xml:space="preserve">All family status groups pass the four-fifths rule. Single/unmarried applicants (IR = 0.801) sit just above the threshold. Given the correlation between single status and younger age, this finding likely reflects the same underlying age-related dynamic. Monitoring is recommended.</w:t>
      </w:r>
    </w:p>
    <w:p>
      <w:pPr>
        <w:pBdr>
          <w:bottom w:val="single" w:color="1565C0" w:sz="4" w:space="8"/>
        </w:pBdr>
        <w:spacing w:before="360" w:after="200"/>
      </w:pPr>
      <w:r>
        <w:rPr>
          <w:rFonts w:ascii="Garamond" w:cs="Garamond" w:eastAsia="Garamond" w:hAnsi="Garamond"/>
          <w:b/>
          <w:bCs/>
          <w:color w:val="0C1F3F"/>
          <w:sz w:val="28"/>
          <w:szCs w:val="28"/>
        </w:rPr>
        <w:t xml:space="preserve">5. Intersectional Analysis: Gender × Age</w:t>
      </w:r>
    </w:p>
    <w:p>
      <w:pPr>
        <w:spacing w:before="0" w:after="160"/>
      </w:pPr>
      <w:r>
        <w:rPr>
          <w:rFonts w:ascii="Garamond" w:cs="Garamond" w:eastAsia="Garamond" w:hAnsi="Garamond"/>
          <w:color w:val="5A6A7A"/>
          <w:sz w:val="22"/>
          <w:szCs w:val="22"/>
        </w:rPr>
        <w:t xml:space="preserve">Intersectional analysis examines approval rates for groups defined by the combination of gender and age. This is critical under FEAT because single-attribute analysis can mask compounding disparities. Impact Ratios are computed against the overall highest-approval intersectional group. Where the reference group’s IR would round to a value other than 1.000 due to decimal precision, it is set to 1.000 by definition.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800"/>
        <w:gridCol w:w="1800"/>
        <w:gridCol w:w="1960"/>
      </w:tblGrid>
      <w:tr>
        <w:tc>
          <w:tcPr>
            <w:tcW w:type="dxa" w:w="22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Group</w:t>
            </w:r>
          </w:p>
        </w:tc>
        <w:tc>
          <w:tcPr>
            <w:tcW w:type="dxa" w:w="16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N</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Approval Rate</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Impact Ratio</w:t>
            </w:r>
          </w:p>
        </w:tc>
        <w:tc>
          <w:tcPr>
            <w:tcW w:type="dxa" w:w="196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Status</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M, 18–25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7,559</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40.77%</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0.448</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FAIL</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F, 18–25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8,850</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47.28%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0.519</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FAIL</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M, 26–35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31,072</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59.84%</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0.657</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FAIL</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F, 26–35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44,931</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bCs/>
                <w:color w:val="C62828"/>
                <w:sz w:val="20"/>
                <w:szCs w:val="20"/>
              </w:rPr>
              <w:t xml:space="preserve">63.21%</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0.694</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C62828"/>
                <w:sz w:val="20"/>
                <w:szCs w:val="20"/>
              </w:rPr>
              <w:t xml:space="preserve">FAIL</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 36–45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30,690</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73.67%</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E65100"/>
                <w:sz w:val="20"/>
                <w:szCs w:val="20"/>
              </w:rPr>
              <w:t xml:space="preserve">0.809</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E65100"/>
                <w:sz w:val="20"/>
                <w:szCs w:val="20"/>
              </w:rPr>
              <w:t xml:space="preserve">WATCH</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 36–45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53,079</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76.88%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E65100"/>
                <w:sz w:val="20"/>
                <w:szCs w:val="20"/>
              </w:rPr>
              <w:t xml:space="preserve">0.844</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E65100"/>
                <w:sz w:val="20"/>
                <w:szCs w:val="20"/>
              </w:rPr>
              <w:t xml:space="preserve">WATCH</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 46–55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21,766</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79.71%</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0.875</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 46–55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47,695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82.71%</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0.908</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 56–65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13,018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85.08%</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0.934</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 56–65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43,970</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88.36%</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0.970</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 65+</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953</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90.66%</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0.995</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r>
        <w:tc>
          <w:tcPr>
            <w:tcW w:type="dxa" w:w="2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F, 65+ (ref)</w:t>
            </w:r>
          </w:p>
        </w:tc>
        <w:tc>
          <w:tcPr>
            <w:tcW w:type="dxa" w:w="16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3,922</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right"/>
            </w:pPr>
            <w:r>
              <w:rPr>
                <w:rFonts w:ascii="Garamond" w:cs="Garamond" w:eastAsia="Garamond" w:hAnsi="Garamond"/>
                <w:b w:val="false"/>
                <w:bCs w:val="false"/>
                <w:color w:val="5A6A7A"/>
                <w:sz w:val="20"/>
                <w:szCs w:val="20"/>
              </w:rPr>
              <w:t xml:space="preserve">91.15%</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1.000</w:t>
            </w:r>
          </w:p>
        </w:tc>
        <w:tc>
          <w:tcPr>
            <w:tcW w:type="dxa" w:w="19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bCs/>
                <w:color w:val="2E7D32"/>
                <w:sz w:val="20"/>
                <w:szCs w:val="20"/>
              </w:rPr>
              <w:t xml:space="preserve">PASS</w:t>
            </w:r>
          </w:p>
        </w:tc>
      </w:tr>
    </w:tbl>
    <w:p>
      <w:pPr>
        <w:spacing w:before="0" w:after="160"/>
      </w:pPr>
      <w:r>
        <w:rPr>
          <w:rFonts w:ascii="Garamond" w:cs="Garamond" w:eastAsia="Garamond" w:hAnsi="Garamond"/>
          <w:b/>
          <w:bCs/>
          <w:color w:val="0C1F3F"/>
          <w:sz w:val="22"/>
          <w:szCs w:val="22"/>
        </w:rPr>
        <w:t xml:space="preserve">Four intersectional groups fail the four-fifths rule</w:t>
      </w:r>
      <w:r>
        <w:rPr>
          <w:rFonts w:ascii="Garamond" w:cs="Garamond" w:eastAsia="Garamond" w:hAnsi="Garamond"/>
          <w:color w:val="5A6A7A"/>
          <w:sz w:val="22"/>
          <w:szCs w:val="22"/>
        </w:rPr>
        <w:t xml:space="preserve">, all involving younger borrowers. Male borrowers aged 18–25 are the most adversely affected group in the entire dataset, with a simulated approval rate of 40.8% (IR = 0.448). The gender gap within each age band is consistent: men receive approval rates 4–6 percentage points lower than women of the same age. Two additional groups (M 36–45 and F 36–45) sit in the monitoring zone. Note: the M 65+ group (N = 953) is a small cell; in production reporting, groups below a minimum cell size should be suppressed or aggregated per the institution's privacy policy and applicable data protection requirements.</w:t>
      </w:r>
    </w:p>
    <w:p>
      <w:pPr>
        <w:pBdr>
          <w:bottom w:val="single" w:color="1565C0" w:sz="4" w:space="8"/>
        </w:pBdr>
        <w:spacing w:before="360" w:after="200"/>
      </w:pPr>
      <w:r>
        <w:rPr>
          <w:rFonts w:ascii="Garamond" w:cs="Garamond" w:eastAsia="Garamond" w:hAnsi="Garamond"/>
          <w:b/>
          <w:bCs/>
          <w:color w:val="0C1F3F"/>
          <w:sz w:val="28"/>
          <w:szCs w:val="28"/>
        </w:rPr>
        <w:t xml:space="preserve">6. Risk Assessment and Recommendations</w:t>
      </w:r>
    </w:p>
    <w:p>
      <w:pPr>
        <w:spacing w:before="280" w:after="120"/>
      </w:pPr>
      <w:r>
        <w:rPr>
          <w:rFonts w:ascii="Garamond" w:cs="Garamond" w:eastAsia="Garamond" w:hAnsi="Garamond"/>
          <w:b/>
          <w:bCs/>
          <w:color w:val="1565C0"/>
          <w:sz w:val="24"/>
          <w:szCs w:val="24"/>
        </w:rPr>
        <w:t xml:space="preserve">6.1 Risk-Ranked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2400"/>
        <w:gridCol w:w="1800"/>
        <w:gridCol w:w="1560"/>
      </w:tblGrid>
      <w:tr>
        <w:tc>
          <w:tcPr>
            <w:tcW w:type="dxa" w:w="12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Severity</w:t>
            </w:r>
          </w:p>
        </w:tc>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Finding</w:t>
            </w:r>
          </w:p>
        </w:tc>
        <w:tc>
          <w:tcPr>
            <w:tcW w:type="dxa" w:w="24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Affected Population</w:t>
            </w:r>
          </w:p>
        </w:tc>
        <w:tc>
          <w:tcPr>
            <w:tcW w:type="dxa" w:w="180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Impact Ratio</w:t>
            </w:r>
          </w:p>
        </w:tc>
        <w:tc>
          <w:tcPr>
            <w:tcW w:type="dxa" w:w="156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FEAT Principle</w:t>
            </w:r>
          </w:p>
        </w:tc>
      </w:tr>
      <w:tr>
        <w:tc>
          <w:tcPr>
            <w:tcW w:type="dxa" w:w="1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C62828"/>
                <w:sz w:val="20"/>
                <w:szCs w:val="20"/>
              </w:rPr>
              <w:t xml:space="preserve">HIGH</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Age 18–25: severe adverse impact (robust to reference group)</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16,409 applicants</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0.486</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F1, F2</w:t>
            </w:r>
          </w:p>
        </w:tc>
      </w:tr>
      <w:tr>
        <w:tc>
          <w:tcPr>
            <w:tcW w:type="dxa" w:w="1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C62828"/>
                <w:sz w:val="20"/>
                <w:szCs w:val="20"/>
              </w:rPr>
              <w:t xml:space="preserve">HIGH</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Age 26–35: substantial adverse impact</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76,003 applicants</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0.679</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F1, F2</w:t>
            </w:r>
          </w:p>
        </w:tc>
      </w:tr>
      <w:tr>
        <w:tc>
          <w:tcPr>
            <w:tcW w:type="dxa" w:w="1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C62828"/>
                <w:sz w:val="20"/>
                <w:szCs w:val="20"/>
              </w:rPr>
              <w:t xml:space="preserve">HIGH</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 18–25: worst intersectional outcome</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7,559 applicants</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0.448</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F1, F2, F3</w:t>
            </w:r>
          </w:p>
        </w:tc>
      </w:tr>
      <w:tr>
        <w:tc>
          <w:tcPr>
            <w:tcW w:type="dxa" w:w="1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E65100"/>
                <w:sz w:val="20"/>
                <w:szCs w:val="20"/>
              </w:rPr>
              <w:t xml:space="preserve">MEDIUM</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Age 36–45: approaching threshold</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83,769 applicants</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0.831</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F2</w:t>
            </w:r>
          </w:p>
        </w:tc>
      </w:tr>
      <w:tr>
        <w:tc>
          <w:tcPr>
            <w:tcW w:type="dxa" w:w="1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E65100"/>
                <w:sz w:val="20"/>
                <w:szCs w:val="20"/>
              </w:rPr>
              <w:t xml:space="preserve">MEDIUM</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Gender gap: 6.7pp, statistically significant after BH correction</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105,058 male applicants</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0.913</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F2</w:t>
            </w:r>
          </w:p>
        </w:tc>
      </w:tr>
      <w:tr>
        <w:tc>
          <w:tcPr>
            <w:tcW w:type="dxa" w:w="12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2E7D32"/>
                <w:sz w:val="20"/>
                <w:szCs w:val="20"/>
              </w:rPr>
              <w:t xml:space="preserve">LOW</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Single status: just above threshold</w:t>
            </w:r>
          </w:p>
        </w:tc>
        <w:tc>
          <w:tcPr>
            <w:tcW w:type="dxa" w:w="24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45,444 applicants</w:t>
            </w:r>
          </w:p>
        </w:tc>
        <w:tc>
          <w:tcPr>
            <w:tcW w:type="dxa" w:w="180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center"/>
            </w:pPr>
            <w:r>
              <w:rPr>
                <w:rFonts w:ascii="Garamond" w:cs="Garamond" w:eastAsia="Garamond" w:hAnsi="Garamond"/>
                <w:b w:val="false"/>
                <w:bCs w:val="false"/>
                <w:color w:val="5A6A7A"/>
                <w:sz w:val="20"/>
                <w:szCs w:val="20"/>
              </w:rPr>
              <w:t xml:space="preserve">0.801</w:t>
            </w:r>
          </w:p>
        </w:tc>
        <w:tc>
          <w:tcPr>
            <w:tcW w:type="dxa" w:w="156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F2</w:t>
            </w:r>
          </w:p>
        </w:tc>
      </w:tr>
    </w:tbl>
    <w:p>
      <w:pPr>
        <w:spacing w:before="280" w:after="120"/>
      </w:pPr>
      <w:r>
        <w:rPr>
          <w:rFonts w:ascii="Garamond" w:cs="Garamond" w:eastAsia="Garamond" w:hAnsi="Garamond"/>
          <w:b/>
          <w:bCs/>
          <w:color w:val="1565C0"/>
          <w:sz w:val="24"/>
          <w:szCs w:val="24"/>
        </w:rPr>
        <w:t xml:space="preserve">6.2 Recommendations</w:t>
      </w:r>
    </w:p>
    <w:p>
      <w:pPr>
        <w:pStyle w:val="ListParagraph"/>
        <w:numPr>
          <w:ilvl w:val="0"/>
          <w:numId w:val="2"/>
        </w:numPr>
        <w:spacing w:before="0" w:after="100"/>
      </w:pPr>
      <w:r>
        <w:rPr>
          <w:rFonts w:ascii="Garamond" w:cs="Garamond" w:eastAsia="Garamond" w:hAnsi="Garamond"/>
          <w:b/>
          <w:bCs/>
          <w:color w:val="0C1F3F"/>
          <w:sz w:val="22"/>
          <w:szCs w:val="22"/>
        </w:rPr>
        <w:t xml:space="preserve">Evaluate age as a fairness-sensitive attribute in model design. </w:t>
      </w:r>
      <w:r>
        <w:rPr>
          <w:rFonts w:ascii="Garamond" w:cs="Garamond" w:eastAsia="Garamond" w:hAnsi="Garamond"/>
          <w:color w:val="5A6A7A"/>
          <w:sz w:val="22"/>
          <w:szCs w:val="22"/>
        </w:rPr>
        <w:t xml:space="preserve">In this dataset, observed default rates are higher for younger borrowers. However, a risk model that excludes age as a direct input will still capture age-correlated features (income level, employment duration, credit history length), producing a de facto age penalty. Under FEAT Principle F1, the assessment owner should determine whether this level of differential treatment is proportionate to observed risk, or whether alternative model designs (age-band-specific thresholds, recalibration, or alternative features) could achieve acceptable risk management with less adverse impact on younger applicants.</w:t>
      </w:r>
    </w:p>
    <w:p>
      <w:pPr>
        <w:pStyle w:val="ListParagraph"/>
        <w:numPr>
          <w:ilvl w:val="0"/>
          <w:numId w:val="2"/>
        </w:numPr>
        <w:spacing w:before="0" w:after="100"/>
      </w:pPr>
      <w:r>
        <w:rPr>
          <w:rFonts w:ascii="Garamond" w:cs="Garamond" w:eastAsia="Garamond" w:hAnsi="Garamond"/>
          <w:b/>
          <w:bCs/>
          <w:color w:val="0C1F3F"/>
          <w:sz w:val="22"/>
          <w:szCs w:val="22"/>
        </w:rPr>
        <w:t xml:space="preserve">Conduct feature-level fairness decomposition on EXT_SOURCE features. </w:t>
      </w:r>
      <w:r>
        <w:rPr>
          <w:rFonts w:ascii="Garamond" w:cs="Garamond" w:eastAsia="Garamond" w:hAnsi="Garamond"/>
          <w:color w:val="5A6A7A"/>
          <w:sz w:val="22"/>
          <w:szCs w:val="22"/>
        </w:rPr>
        <w:t xml:space="preserve">The ablation test (Section 4.4) shows these features substantially affect both model performance and fairness outcomes. A SHAP-based attribution analysis by protected group, or a correlation audit of EXT_SOURCE values against age, gender, and family status, should be a required next step in any production deployment.</w:t>
      </w:r>
    </w:p>
    <w:p>
      <w:pPr>
        <w:pStyle w:val="ListParagraph"/>
        <w:numPr>
          <w:ilvl w:val="0"/>
          <w:numId w:val="2"/>
        </w:numPr>
        <w:spacing w:before="0" w:after="100"/>
      </w:pPr>
      <w:r>
        <w:rPr>
          <w:rFonts w:ascii="Garamond" w:cs="Garamond" w:eastAsia="Garamond" w:hAnsi="Garamond"/>
          <w:b/>
          <w:bCs/>
          <w:color w:val="0C1F3F"/>
          <w:sz w:val="22"/>
          <w:szCs w:val="22"/>
        </w:rPr>
        <w:t xml:space="preserve">Implement intersectional monitoring. </w:t>
      </w:r>
      <w:r>
        <w:rPr>
          <w:rFonts w:ascii="Garamond" w:cs="Garamond" w:eastAsia="Garamond" w:hAnsi="Garamond"/>
          <w:color w:val="5A6A7A"/>
          <w:sz w:val="22"/>
          <w:szCs w:val="22"/>
        </w:rPr>
        <w:t xml:space="preserve">Single-attribute analysis showed gender passing the four-fifths rule, but intersectional analysis revealed four failing groups. Ongoing monitoring should include gender × age breakdowns as standard practice.</w:t>
      </w:r>
    </w:p>
    <w:p>
      <w:pPr>
        <w:pStyle w:val="ListParagraph"/>
        <w:numPr>
          <w:ilvl w:val="0"/>
          <w:numId w:val="2"/>
        </w:numPr>
        <w:spacing w:before="0" w:after="100"/>
      </w:pPr>
      <w:r>
        <w:rPr>
          <w:rFonts w:ascii="Garamond" w:cs="Garamond" w:eastAsia="Garamond" w:hAnsi="Garamond"/>
          <w:b/>
          <w:bCs/>
          <w:color w:val="0C1F3F"/>
          <w:sz w:val="22"/>
          <w:szCs w:val="22"/>
        </w:rPr>
        <w:t xml:space="preserve">Threshold sensitivity: findings vary with operating point. </w:t>
      </w:r>
      <w:r>
        <w:rPr>
          <w:rFonts w:ascii="Garamond" w:cs="Garamond" w:eastAsia="Garamond" w:hAnsi="Garamond"/>
          <w:color w:val="5A6A7A"/>
          <w:sz w:val="22"/>
          <w:szCs w:val="22"/>
        </w:rPr>
        <w:t xml:space="preserve">The findings are threshold-dependent, as shown below. The 18–25 group fails the four-fifths rule at all three thresholds tested; the 26–35 group fails at all three. Gender passes at all thresholds but the gap narrows with more permissive lending. The model owner should evaluate fairness at the actual production operating point. Threshold 0.08 (65% overall approval): 18–25 IR = 0.387; 26–35 IR = 0.599; Gender IR = 0.887. Threshold 0.10 (74% overall approval): 18–25 IR = 0.486; 26–35 IR = 0.679; Gender IR = 0.913. Threshold 0.12 (81% overall approval): 18–25 IR = 0.569; 26–35 IR = 0.744; Gender IR = 0.932.</w:t>
      </w:r>
    </w:p>
    <w:p>
      <w:pPr>
        <w:pStyle w:val="ListParagraph"/>
        <w:numPr>
          <w:ilvl w:val="0"/>
          <w:numId w:val="2"/>
        </w:numPr>
        <w:spacing w:before="0" w:after="100"/>
      </w:pPr>
      <w:r>
        <w:rPr>
          <w:rFonts w:ascii="Garamond" w:cs="Garamond" w:eastAsia="Garamond" w:hAnsi="Garamond"/>
          <w:b/>
          <w:bCs/>
          <w:color w:val="0C1F3F"/>
          <w:sz w:val="22"/>
          <w:szCs w:val="22"/>
        </w:rPr>
        <w:t xml:space="preserve">Document fairness trade-offs under FEAT Principle F4 (Communication). </w:t>
      </w:r>
      <w:r>
        <w:rPr>
          <w:rFonts w:ascii="Garamond" w:cs="Garamond" w:eastAsia="Garamond" w:hAnsi="Garamond"/>
          <w:color w:val="5A6A7A"/>
          <w:sz w:val="22"/>
          <w:szCs w:val="22"/>
        </w:rPr>
        <w:t xml:space="preserve">Where adverse impact is justified by risk, the rationale should be documented with supporting evidence and communicated to relevant stakeholders.</w:t>
      </w:r>
    </w:p>
    <w:p>
      <w:pPr>
        <w:pStyle w:val="ListParagraph"/>
        <w:numPr>
          <w:ilvl w:val="0"/>
          <w:numId w:val="2"/>
        </w:numPr>
        <w:spacing w:before="0" w:after="100"/>
      </w:pPr>
      <w:r>
        <w:rPr>
          <w:rFonts w:ascii="Garamond" w:cs="Garamond" w:eastAsia="Garamond" w:hAnsi="Garamond"/>
          <w:b/>
          <w:bCs/>
          <w:color w:val="0C1F3F"/>
          <w:sz w:val="22"/>
          <w:szCs w:val="22"/>
        </w:rPr>
        <w:t xml:space="preserve">Use complete application funnel data in production. </w:t>
      </w:r>
      <w:r>
        <w:rPr>
          <w:rFonts w:ascii="Garamond" w:cs="Garamond" w:eastAsia="Garamond" w:hAnsi="Garamond"/>
          <w:color w:val="5A6A7A"/>
          <w:sz w:val="22"/>
          <w:szCs w:val="22"/>
        </w:rPr>
        <w:t xml:space="preserve">This analysis uses approved-only data. A production assessment should incorporate the full application pipeline (approved + declined) to eliminate selection bias, or apply and document reject-inference techniques.</w:t>
      </w:r>
    </w:p>
    <w:p>
      <w:pPr>
        <w:pBdr>
          <w:bottom w:val="single" w:color="1565C0" w:sz="4" w:space="8"/>
        </w:pBdr>
        <w:spacing w:before="360" w:after="200"/>
      </w:pPr>
      <w:r>
        <w:rPr>
          <w:rFonts w:ascii="Garamond" w:cs="Garamond" w:eastAsia="Garamond" w:hAnsi="Garamond"/>
          <w:b/>
          <w:bCs/>
          <w:color w:val="0C1F3F"/>
          <w:sz w:val="28"/>
          <w:szCs w:val="28"/>
        </w:rPr>
        <w:t xml:space="preserve">7. Scope, Independence, and Disclaimers</w:t>
      </w:r>
    </w:p>
    <w:p>
      <w:pPr>
        <w:spacing w:before="280" w:after="120"/>
      </w:pPr>
      <w:r>
        <w:rPr>
          <w:rFonts w:ascii="Garamond" w:cs="Garamond" w:eastAsia="Garamond" w:hAnsi="Garamond"/>
          <w:b/>
          <w:bCs/>
          <w:color w:val="1565C0"/>
          <w:sz w:val="24"/>
          <w:szCs w:val="24"/>
        </w:rPr>
        <w:t xml:space="preserve">7.1 Scope</w:t>
      </w:r>
    </w:p>
    <w:p>
      <w:pPr>
        <w:spacing w:before="0" w:after="160"/>
      </w:pPr>
      <w:r>
        <w:rPr>
          <w:rFonts w:ascii="Garamond" w:cs="Garamond" w:eastAsia="Garamond" w:hAnsi="Garamond"/>
          <w:color w:val="5A6A7A"/>
          <w:sz w:val="22"/>
          <w:szCs w:val="22"/>
        </w:rPr>
        <w:t xml:space="preserve">This report presents a FEAT-aligned fairness assessment using publicly available data. The analysis demonstrates the methodology that Minerva AI Assurance applies in client engagements. The simulated risk model is constructed for assessment purposes and does not represent any production system.</w:t>
      </w:r>
    </w:p>
    <w:p>
      <w:pPr>
        <w:spacing w:before="280" w:after="120"/>
      </w:pPr>
      <w:r>
        <w:rPr>
          <w:rFonts w:ascii="Garamond" w:cs="Garamond" w:eastAsia="Garamond" w:hAnsi="Garamond"/>
          <w:b/>
          <w:bCs/>
          <w:color w:val="1565C0"/>
          <w:sz w:val="24"/>
          <w:szCs w:val="24"/>
        </w:rPr>
        <w:t xml:space="preserve">7.2 Independence</w:t>
      </w:r>
    </w:p>
    <w:p>
      <w:pPr>
        <w:spacing w:before="0" w:after="160"/>
      </w:pPr>
      <w:r>
        <w:rPr>
          <w:rFonts w:ascii="Garamond" w:cs="Garamond" w:eastAsia="Garamond" w:hAnsi="Garamond"/>
          <w:color w:val="5A6A7A"/>
          <w:sz w:val="22"/>
          <w:szCs w:val="22"/>
        </w:rPr>
        <w:t xml:space="preserve">Minerva AI Assurance does not build, implement, or advise on the development of lending systems. We have no commercial relationship with Home Credit Group or any financial institution referenced in the underlying data.</w:t>
      </w:r>
    </w:p>
    <w:p>
      <w:pPr>
        <w:spacing w:before="280" w:after="120"/>
      </w:pPr>
      <w:r>
        <w:rPr>
          <w:rFonts w:ascii="Garamond" w:cs="Garamond" w:eastAsia="Garamond" w:hAnsi="Garamond"/>
          <w:b/>
          <w:bCs/>
          <w:color w:val="1565C0"/>
          <w:sz w:val="24"/>
          <w:szCs w:val="24"/>
        </w:rPr>
        <w:t xml:space="preserve">7.3 Disclaimer</w:t>
      </w:r>
    </w:p>
    <w:p>
      <w:pPr>
        <w:spacing w:before="0" w:after="160"/>
      </w:pPr>
      <w:r>
        <w:rPr>
          <w:rFonts w:ascii="Garamond" w:cs="Garamond" w:eastAsia="Garamond" w:hAnsi="Garamond"/>
          <w:color w:val="5A6A7A"/>
          <w:sz w:val="22"/>
          <w:szCs w:val="22"/>
        </w:rPr>
        <w:t xml:space="preserve">This report is provided for informational and analytical purposes only. It does not constitute legal advice and does not guarantee compliance with any specific law, regulation, or standard. Nothing in this report should be interpreted as a determination that any lender has engaged in unlawful discrimination. The findings identify statistical disparities that would warrant further investigation in a production context. Recipients are responsible for their own compliance decisions and should consult legal counsel as appropriate.</w:t>
      </w:r>
    </w:p>
    <w:p>
      <w:pPr>
        <w:spacing w:before="280" w:after="120"/>
      </w:pPr>
      <w:r>
        <w:rPr>
          <w:rFonts w:ascii="Garamond" w:cs="Garamond" w:eastAsia="Garamond" w:hAnsi="Garamond"/>
          <w:b/>
          <w:bCs/>
          <w:color w:val="1565C0"/>
          <w:sz w:val="24"/>
          <w:szCs w:val="24"/>
        </w:rPr>
        <w:t xml:space="preserve">7.4 AI Verify Testing Framework Mapping</w:t>
      </w:r>
    </w:p>
    <w:p>
      <w:pPr>
        <w:spacing w:before="0" w:after="160"/>
      </w:pPr>
      <w:r>
        <w:rPr>
          <w:rFonts w:ascii="Garamond" w:cs="Garamond" w:eastAsia="Garamond" w:hAnsi="Garamond"/>
          <w:color w:val="5A6A7A"/>
          <w:sz w:val="22"/>
          <w:szCs w:val="22"/>
        </w:rPr>
        <w:t xml:space="preserve">This report addresses the following AI Verify testing categories and evidence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AI Verify Principle</w:t>
            </w:r>
          </w:p>
        </w:tc>
        <w:tc>
          <w:tcPr>
            <w:tcW w:type="dxa" w:w="31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Covered In This Report</w:t>
            </w:r>
          </w:p>
        </w:tc>
        <w:tc>
          <w:tcPr>
            <w:tcW w:type="dxa" w:w="3120"/>
            <w:tcBorders>
              <w:top w:val="single" w:color="D6DCE0" w:sz="1"/>
              <w:left w:val="single" w:color="D6DCE0" w:sz="1"/>
              <w:bottom w:val="single" w:color="D6DCE0" w:sz="1"/>
              <w:right w:val="single" w:color="D6DCE0" w:sz="1"/>
            </w:tcBorders>
            <w:shd w:fill="0C1F3F" w:val="clear"/>
            <w:tcMar>
              <w:top w:type="dxa" w:w="60"/>
              <w:left w:type="dxa" w:w="100"/>
              <w:bottom w:type="dxa" w:w="60"/>
              <w:right w:type="dxa" w:w="100"/>
            </w:tcMar>
          </w:tcPr>
          <w:p>
            <w:pPr>
              <w:jc w:val="left"/>
            </w:pPr>
            <w:r>
              <w:rPr>
                <w:rFonts w:ascii="Garamond" w:cs="Garamond" w:eastAsia="Garamond" w:hAnsi="Garamond"/>
                <w:b/>
                <w:bCs/>
                <w:color w:val="FFFFFF"/>
                <w:sz w:val="20"/>
                <w:szCs w:val="20"/>
              </w:rPr>
              <w:t xml:space="preserve">Evidence Provided</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bCs/>
                <w:color w:val="5A6A7A"/>
                <w:sz w:val="20"/>
                <w:szCs w:val="20"/>
              </w:rPr>
              <w:t xml:space="preserve">7. Fairness</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Yes — primary focus</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Adverse impact ratios, intersectional analysis, ablation test, robustness checks</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1. Transparency</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Partial</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Methodology disclosure, limitations, statistical methods, threshold definitions</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2. Explainability</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Partial</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Feature importance via ablation; SHAP analysis recommended as next step</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3. Repeatability</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Yes</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Fixed random seed (42), documented data source, versioned dataset extract, feature schema, reproducible pipeline. Production assessments should additionally capture environment/package versions and preprocessing run logs</w:t>
            </w:r>
          </w:p>
        </w:tc>
      </w:tr>
      <w:tr>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9. Accountability</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Partial</w:t>
            </w:r>
          </w:p>
        </w:tc>
        <w:tc>
          <w:tcPr>
            <w:tcW w:type="dxa" w:w="3120"/>
            <w:tcBorders>
              <w:top w:val="single" w:color="D6DCE0" w:sz="1"/>
              <w:left w:val="single" w:color="D6DCE0" w:sz="1"/>
              <w:bottom w:val="single" w:color="D6DCE0" w:sz="1"/>
              <w:right w:val="single" w:color="D6DCE0" w:sz="1"/>
            </w:tcBorders>
            <w:tcMar>
              <w:top w:type="dxa" w:w="60"/>
              <w:left w:type="dxa" w:w="100"/>
              <w:bottom w:type="dxa" w:w="60"/>
              <w:right w:type="dxa" w:w="100"/>
            </w:tcMar>
          </w:tcPr>
          <w:p>
            <w:pPr>
              <w:jc w:val="left"/>
            </w:pPr>
            <w:r>
              <w:rPr>
                <w:rFonts w:ascii="Garamond" w:cs="Garamond" w:eastAsia="Garamond" w:hAnsi="Garamond"/>
                <w:b w:val="false"/>
                <w:bCs w:val="false"/>
                <w:color w:val="5A6A7A"/>
                <w:sz w:val="20"/>
                <w:szCs w:val="20"/>
              </w:rPr>
              <w:t xml:space="preserve">Risk ranking, recommendations, FEAT principle mapping</w:t>
            </w:r>
          </w:p>
        </w:tc>
      </w:tr>
    </w:tbl>
    <w:p>
      <w:pPr>
        <w:spacing w:before="0" w:after="160"/>
      </w:pPr>
      <w:r>
        <w:rPr>
          <w:rFonts w:ascii="Garamond" w:cs="Garamond" w:eastAsia="Garamond" w:hAnsi="Garamond"/>
          <w:b/>
          <w:bCs/>
          <w:color w:val="0C1F3F"/>
          <w:sz w:val="22"/>
          <w:szCs w:val="22"/>
        </w:rPr>
        <w:t xml:space="preserve">Not covered in this report: </w:t>
      </w:r>
      <w:r>
        <w:rPr>
          <w:rFonts w:ascii="Garamond" w:cs="Garamond" w:eastAsia="Garamond" w:hAnsi="Garamond"/>
          <w:color w:val="5A6A7A"/>
          <w:sz w:val="22"/>
          <w:szCs w:val="22"/>
        </w:rPr>
        <w:t xml:space="preserve">Safety (Principle 4), Security (Principle 5), Robustness (Principle 6), Data Governance (Principle 8), Human Agency and Oversight (Principle 10), and Inclusive Growth / Environmental Well-being (Principle 11). These would be addressed in a full AI Verify assessment engagement.</w:t>
      </w:r>
    </w:p>
    <w:p>
      <w:pPr>
        <w:spacing w:before="0" w:after="0"/>
      </w:pPr>
    </w:p>
    <w:p>
      <w:pPr>
        <w:spacing w:before="0" w:after="0"/>
      </w:pPr>
    </w:p>
    <w:p>
      <w:pPr>
        <w:pBdr>
          <w:top w:val="single" w:color="D6DCE0" w:sz="2" w:space="8"/>
        </w:pBdr>
        <w:spacing w:before="200" w:after="0"/>
      </w:pPr>
      <w:r>
        <w:rPr>
          <w:rFonts w:ascii="Garamond" w:cs="Garamond" w:eastAsia="Garamond" w:hAnsi="Garamond"/>
          <w:color w:val="5A6A7A"/>
          <w:sz w:val="22"/>
          <w:szCs w:val="22"/>
        </w:rPr>
        <w:t xml:space="preserve">Minerva AI Assurance  ·  Singapore  ·  United States  ·  hello@trustminerva.com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DCE0" w:sz="1" w:space="6"/>
      </w:pBdr>
      <w:tabs>
        <w:tab w:val="right" w:pos="9026"/>
      </w:tabs>
    </w:pPr>
    <w:r>
      <w:rPr>
        <w:rFonts w:ascii="Garamond" w:cs="Garamond" w:eastAsia="Garamond" w:hAnsi="Garamond"/>
        <w:color w:val="5A6A7A"/>
        <w:sz w:val="14"/>
        <w:szCs w:val="14"/>
      </w:rPr>
      <w:t xml:space="preserve">CONFIDENTIAL</w:t>
    </w:r>
    <w:r>
      <w:rPr>
        <w:rFonts w:ascii="Garamond" w:cs="Garamond" w:eastAsia="Garamond" w:hAnsi="Garamond"/>
      </w:rPr>
      <w:t xml:space="preserve">	</w:t>
    </w:r>
    <w:r>
      <w:rPr>
        <w:rFonts w:ascii="Garamond" w:cs="Garamond" w:eastAsia="Garamond" w:hAnsi="Garamond"/>
        <w:color w:val="5A6A7A"/>
        <w:sz w:val="14"/>
        <w:szCs w:val="14"/>
      </w:rPr>
      <w:t xml:space="preserve">February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6DCE0" w:sz="2" w:space="6"/>
      </w:pBdr>
      <w:spacing w:before="0" w:after="0"/>
    </w:pPr>
    <w:r>
      <w:rPr>
        <w:rFonts w:ascii="Garamond" w:cs="Garamond" w:eastAsia="Garamond" w:hAnsi="Garamond"/>
        <w:color w:val="5A6A7A"/>
        <w:sz w:val="16"/>
        <w:szCs w:val="16"/>
      </w:rPr>
      <w:t xml:space="preserve">Minerva AI Assurance  |  FEAT Fairness Assessment  |  Home Credit SEA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2026-02-22T15:20:38.407Z</dcterms:created>
  <dcterms:modified xsi:type="dcterms:W3CDTF">2026-02-22T15:20:38.408Z</dcterms:modified>
</cp:coreProperties>
</file>

<file path=docProps/custom.xml><?xml version="1.0" encoding="utf-8"?>
<Properties xmlns="http://schemas.openxmlformats.org/officeDocument/2006/custom-properties" xmlns:vt="http://schemas.openxmlformats.org/officeDocument/2006/docPropsVTypes"/>
</file>