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200"/>
      </w:pPr>
    </w:p>
    <w:p>
      <w:pPr>
        <w:spacing w:after="200"/>
      </w:pPr>
      <w:r>
        <w:rPr>
          <w:rFonts w:ascii="Arial" w:cs="Arial" w:eastAsia="Arial" w:hAnsi="Arial"/>
          <w:b/>
          <w:bCs/>
          <w:color w:val="7E90A6"/>
          <w:spacing w:val="200"/>
          <w:sz w:val="18"/>
          <w:szCs w:val="18"/>
        </w:rPr>
        <w:t xml:space="preserve">MINERVA LAB</w:t>
      </w:r>
    </w:p>
    <w:p>
      <w:pPr>
        <w:spacing w:after="40"/>
      </w:pPr>
      <w:r>
        <w:rPr>
          <w:rFonts w:ascii="Arial" w:cs="Arial" w:eastAsia="Arial" w:hAnsi="Arial"/>
          <w:b/>
          <w:bCs/>
          <w:color w:val="0C1F3F"/>
          <w:sz w:val="44"/>
          <w:szCs w:val="44"/>
        </w:rPr>
        <w:t xml:space="preserve">How FEAT, AI Verify,</w:t>
      </w:r>
    </w:p>
    <w:p>
      <w:pPr>
        <w:spacing w:after="40"/>
      </w:pPr>
      <w:r>
        <w:rPr>
          <w:rFonts w:ascii="Arial" w:cs="Arial" w:eastAsia="Arial" w:hAnsi="Arial"/>
          <w:b/>
          <w:bCs/>
          <w:color w:val="0C1F3F"/>
          <w:sz w:val="44"/>
          <w:szCs w:val="44"/>
        </w:rPr>
        <w:t xml:space="preserve">NIST AI RMF, and the</w:t>
      </w:r>
    </w:p>
    <w:p>
      <w:pPr>
        <w:spacing w:after="120"/>
      </w:pPr>
      <w:r>
        <w:rPr>
          <w:rFonts w:ascii="Arial" w:cs="Arial" w:eastAsia="Arial" w:hAnsi="Arial"/>
          <w:b/>
          <w:bCs/>
          <w:color w:val="0C1F3F"/>
          <w:sz w:val="44"/>
          <w:szCs w:val="44"/>
        </w:rPr>
        <w:t xml:space="preserve">EU AI Act Fit Together</w:t>
      </w:r>
    </w:p>
    <w:p>
      <w:pPr>
        <w:spacing w:after="600"/>
      </w:pPr>
      <w:r>
        <w:rPr>
          <w:rFonts w:ascii="Arial" w:cs="Arial" w:eastAsia="Arial" w:hAnsi="Arial"/>
          <w:color w:val="546A8A"/>
          <w:sz w:val="26"/>
          <w:szCs w:val="26"/>
        </w:rPr>
        <w:t xml:space="preserve">A Build-Once Compliance Guide for Financial Institutions</w:t>
      </w:r>
    </w:p>
    <w:p>
      <w:pPr>
        <w:pBdr>
          <w:bottom w:val="single" w:color="1565C0" w:sz="6" w:space="1"/>
        </w:pBdr>
        <w:spacing w:after="400"/>
      </w:pPr>
    </w:p>
    <w:p>
      <w:pPr>
        <w:spacing w:after="120"/>
      </w:pPr>
      <w:r>
        <w:rPr>
          <w:rFonts w:ascii="Arial" w:cs="Arial" w:eastAsia="Arial" w:hAnsi="Arial"/>
          <w:b/>
          <w:bCs/>
          <w:sz w:val="22"/>
          <w:szCs w:val="22"/>
        </w:rPr>
        <w:t xml:space="preserve">Frameworks Covered: </w:t>
      </w:r>
      <w:r>
        <w:rPr>
          <w:rFonts w:ascii="Arial" w:cs="Arial" w:eastAsia="Arial" w:hAnsi="Arial"/>
          <w:sz w:val="22"/>
          <w:szCs w:val="22"/>
        </w:rPr>
        <w:t xml:space="preserve">MAS FEAT, Singapore AI Verify, NIST AI RMF 1.0, EU AI Act</w:t>
      </w:r>
    </w:p>
    <w:p>
      <w:pPr>
        <w:spacing w:after="120"/>
      </w:pPr>
      <w:r>
        <w:rPr>
          <w:rFonts w:ascii="Arial" w:cs="Arial" w:eastAsia="Arial" w:hAnsi="Arial"/>
          <w:b/>
          <w:bCs/>
          <w:sz w:val="22"/>
          <w:szCs w:val="22"/>
        </w:rPr>
        <w:t xml:space="preserve">Audience: </w:t>
      </w:r>
      <w:r>
        <w:rPr>
          <w:rFonts w:ascii="Arial" w:cs="Arial" w:eastAsia="Arial" w:hAnsi="Arial"/>
          <w:sz w:val="22"/>
          <w:szCs w:val="22"/>
        </w:rPr>
        <w:t xml:space="preserve">Model risk, compliance, AI governance, CRO/CTO teams</w:t>
      </w:r>
    </w:p>
    <w:p>
      <w:pPr>
        <w:spacing w:after="120"/>
      </w:pPr>
      <w:r>
        <w:rPr>
          <w:rFonts w:ascii="Arial" w:cs="Arial" w:eastAsia="Arial" w:hAnsi="Arial"/>
          <w:b/>
          <w:bCs/>
          <w:sz w:val="22"/>
          <w:szCs w:val="22"/>
        </w:rPr>
        <w:t xml:space="preserve">Approach: </w:t>
      </w:r>
      <w:r>
        <w:rPr>
          <w:rFonts w:ascii="Arial" w:cs="Arial" w:eastAsia="Arial" w:hAnsi="Arial"/>
          <w:sz w:val="22"/>
          <w:szCs w:val="22"/>
        </w:rPr>
        <w:t xml:space="preserve">Artifact-first mapping — what you need to produce, not just what each framework says</w:t>
      </w:r>
    </w:p>
    <w:p>
      <w:pPr>
        <w:spacing w:after="120"/>
      </w:pPr>
      <w:r>
        <w:rPr>
          <w:rFonts w:ascii="Arial" w:cs="Arial" w:eastAsia="Arial" w:hAnsi="Arial"/>
          <w:b/>
          <w:bCs/>
          <w:sz w:val="22"/>
          <w:szCs w:val="22"/>
        </w:rPr>
        <w:t xml:space="preserve">Date: </w:t>
      </w:r>
      <w:r>
        <w:rPr>
          <w:rFonts w:ascii="Arial" w:cs="Arial" w:eastAsia="Arial" w:hAnsi="Arial"/>
          <w:sz w:val="22"/>
          <w:szCs w:val="22"/>
        </w:rPr>
        <w:t xml:space="preserve">February 2026</w:t>
      </w:r>
    </w:p>
    <w:p>
      <w:pPr>
        <w:spacing w:before="1600"/>
      </w:pPr>
    </w:p>
    <w:p>
      <w:pPr>
        <w:spacing w:after="60"/>
      </w:pPr>
      <w:r>
        <w:rPr>
          <w:rFonts w:ascii="Arial" w:cs="Arial" w:eastAsia="Arial" w:hAnsi="Arial"/>
          <w:color w:val="7E90A6"/>
          <w:sz w:val="20"/>
          <w:szCs w:val="20"/>
        </w:rPr>
        <w:t xml:space="preserve">Prepared by Minerva AI Assurance</w:t>
      </w:r>
    </w:p>
    <w:p>
      <w:r>
        <w:rPr>
          <w:rFonts w:ascii="Arial" w:cs="Arial" w:eastAsia="Arial" w:hAnsi="Arial"/>
          <w:color w:val="7E90A6"/>
          <w:sz w:val="20"/>
          <w:szCs w:val="20"/>
        </w:rPr>
        <w:t xml:space="preserve">hello@trustminerva.com  ·  www.trustminerva.com</w:t>
      </w:r>
    </w:p>
    <w:p>
      <w:pPr>
        <w:sectPr>
          <w:pgSz w:w="12240" w:h="15840" w:orient="portrait"/>
          <w:pgMar w:top="1440" w:right="1440" w:bottom="1440" w:left="1440" w:header="708" w:footer="708" w:gutter="0"/>
          <w:pgNumType/>
          <w:docGrid w:linePitch="360"/>
        </w:sectPr>
      </w:pPr>
    </w:p>
    <w:p>
      <w:pPr>
        <w:pStyle w:val="Heading1"/>
        <w:spacing w:before="360" w:after="200"/>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360" w:after="200"/>
      </w:pPr>
      <w:r>
        <w:t xml:space="preserve">1. The Convergence Story</w:t>
      </w:r>
    </w:p>
    <w:p>
      <w:pPr>
        <w:spacing w:after="200" w:before="0" w:line="276"/>
      </w:pPr>
      <w:r>
        <w:rPr>
          <w:rFonts w:ascii="Arial" w:cs="Arial" w:eastAsia="Arial" w:hAnsi="Arial"/>
          <w:sz w:val="22"/>
          <w:szCs w:val="22"/>
        </w:rPr>
        <w:t xml:space="preserve">If you work in AI governance at a financial institution, you are likely tracking multiple frameworks simultaneously: MAS FEAT for your Singapore operations, NIST AI RMF for US alignment, AI Verify for cross-sector Singapore assurance, and the EU AI Act for European obligations. These are often treated as separate compliance workstreams. They are converging.</w:t>
      </w:r>
    </w:p>
    <w:p>
      <w:pPr>
        <w:pStyle w:val="Heading3"/>
        <w:spacing w:before="240" w:after="200"/>
      </w:pPr>
      <w:r>
        <w:t xml:space="preserve">Framework Scope Clarifier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5400"/>
        <w:gridCol w:w="2360"/>
      </w:tblGrid>
      <w:tr>
        <w:trPr>
          <w:tblHeader/>
        </w:trPr>
        <w:tc>
          <w:tcPr>
            <w:tcW w:type="dxa" w:w="1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Framework</w:t>
            </w:r>
          </w:p>
        </w:tc>
        <w:tc>
          <w:tcPr>
            <w:tcW w:type="dxa" w:w="5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What It Is</w:t>
            </w:r>
          </w:p>
        </w:tc>
        <w:tc>
          <w:tcPr>
            <w:tcW w:type="dxa" w:w="23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Status</w:t>
            </w:r>
          </w:p>
        </w:tc>
      </w:tr>
      <w:tr>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MAS FEAT</w:t>
            </w:r>
          </w:p>
        </w:tc>
        <w:tc>
          <w:tcPr>
            <w:tcW w:type="dxa" w:w="5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Sector-specific guidance for financial services AI/AIDA systems in Singapore</w:t>
            </w:r>
          </w:p>
        </w:tc>
        <w:tc>
          <w:tcPr>
            <w:tcW w:type="dxa" w:w="2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Voluntary (supervisory expectation)</w:t>
            </w:r>
          </w:p>
        </w:tc>
      </w:tr>
      <w:tr>
        <w:tc>
          <w:tcPr>
            <w:tcW w:type="dxa" w:w="1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Veritas</w:t>
            </w:r>
          </w:p>
        </w:tc>
        <w:tc>
          <w:tcPr>
            <w:tcW w:type="dxa" w:w="5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Assessment methodology and open-source toolkit aligned to FEAT</w:t>
            </w:r>
          </w:p>
        </w:tc>
        <w:tc>
          <w:tcPr>
            <w:tcW w:type="dxa" w:w="2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Voluntary (MAS-convened consortium output)</w:t>
            </w:r>
          </w:p>
        </w:tc>
      </w:tr>
      <w:tr>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AI Verify</w:t>
            </w:r>
          </w:p>
        </w:tc>
        <w:tc>
          <w:tcPr>
            <w:tcW w:type="dxa" w:w="5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Cross-sector AI governance testing framework and software toolkit (IMDA/AI Verify Foundation)</w:t>
            </w:r>
          </w:p>
        </w:tc>
        <w:tc>
          <w:tcPr>
            <w:tcW w:type="dxa" w:w="2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Voluntary (government-backed)</w:t>
            </w:r>
          </w:p>
        </w:tc>
      </w:tr>
      <w:tr>
        <w:tc>
          <w:tcPr>
            <w:tcW w:type="dxa" w:w="1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NIST AI RMF</w:t>
            </w:r>
          </w:p>
        </w:tc>
        <w:tc>
          <w:tcPr>
            <w:tcW w:type="dxa" w:w="5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Risk management framework for AI systems (US)</w:t>
            </w:r>
          </w:p>
        </w:tc>
        <w:tc>
          <w:tcPr>
            <w:tcW w:type="dxa" w:w="2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Voluntary</w:t>
            </w:r>
          </w:p>
        </w:tc>
      </w:tr>
      <w:tr>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EU AI Act</w:t>
            </w:r>
          </w:p>
        </w:tc>
        <w:tc>
          <w:tcPr>
            <w:tcW w:type="dxa" w:w="5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Binding regulation with risk-tiered obligations for AI systems (EU)</w:t>
            </w:r>
          </w:p>
        </w:tc>
        <w:tc>
          <w:tcPr>
            <w:tcW w:type="dxa" w:w="2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Mandatory (phased enforcement)</w:t>
            </w:r>
          </w:p>
        </w:tc>
      </w:tr>
    </w:tbl>
    <w:p>
      <w:pPr>
        <w:spacing w:after="100" w:before="0" w:line="276"/>
      </w:pPr>
      <w:r>
        <w:rPr>
          <w:rFonts w:ascii="Arial" w:cs="Arial" w:eastAsia="Arial" w:hAnsi="Arial"/>
          <w:sz w:val="22"/>
          <w:szCs w:val="22"/>
        </w:rPr>
        <w:t xml:space="preserve"/>
      </w:r>
    </w:p>
    <w:p>
      <w:pPr>
        <w:pStyle w:val="Heading2"/>
        <w:spacing w:before="240" w:after="200"/>
      </w:pPr>
      <w:r>
        <w:t xml:space="preserve">1.1 Singapore’s Frameworks Are Merging into One Ecosystem</w:t>
      </w:r>
    </w:p>
    <w:p>
      <w:pPr>
        <w:spacing w:after="200" w:before="0" w:line="276"/>
      </w:pPr>
      <w:r>
        <w:rPr>
          <w:rFonts w:ascii="Arial" w:cs="Arial" w:eastAsia="Arial" w:hAnsi="Arial"/>
          <w:sz w:val="22"/>
          <w:szCs w:val="22"/>
        </w:rPr>
        <w:t xml:space="preserve">The trajectory is clear:</w:t>
      </w:r>
    </w:p>
    <w:p>
      <w:pPr>
        <w:spacing w:after="200" w:before="0" w:line="276"/>
      </w:pPr>
      <w:r>
        <w:rPr>
          <w:rFonts w:ascii="Arial" w:cs="Arial" w:eastAsia="Arial" w:hAnsi="Arial"/>
          <w:b/>
          <w:bCs/>
          <w:sz w:val="22"/>
          <w:szCs w:val="22"/>
        </w:rPr>
        <w:t xml:space="preserve">2018: </w:t>
      </w:r>
      <w:r>
        <w:rPr>
          <w:rFonts w:ascii="Arial" w:cs="Arial" w:eastAsia="Arial" w:hAnsi="Arial"/>
          <w:sz w:val="22"/>
          <w:szCs w:val="22"/>
        </w:rPr>
        <w:t xml:space="preserve">MAS publishes the FEAT Principles — voluntary guidance for financial services AIDA systems.¹</w:t>
      </w:r>
    </w:p>
    <w:p>
      <w:pPr>
        <w:spacing w:after="200" w:before="0" w:line="276"/>
      </w:pPr>
      <w:r>
        <w:rPr>
          <w:rFonts w:ascii="Arial" w:cs="Arial" w:eastAsia="Arial" w:hAnsi="Arial"/>
          <w:b/>
          <w:bCs/>
          <w:sz w:val="22"/>
          <w:szCs w:val="22"/>
        </w:rPr>
        <w:t xml:space="preserve">2020–2023: </w:t>
      </w:r>
      <w:r>
        <w:rPr>
          <w:rFonts w:ascii="Arial" w:cs="Arial" w:eastAsia="Arial" w:hAnsi="Arial"/>
          <w:sz w:val="22"/>
          <w:szCs w:val="22"/>
        </w:rPr>
        <w:t xml:space="preserve">The Veritas consortium (convened by MAS with major financial institutions and industry partners²) develops assessment methodologies and an open-source toolkit for FEAT.</w:t>
      </w:r>
    </w:p>
    <w:p>
      <w:pPr>
        <w:spacing w:after="200" w:before="0" w:line="276"/>
      </w:pPr>
      <w:r>
        <w:rPr>
          <w:rFonts w:ascii="Arial" w:cs="Arial" w:eastAsia="Arial" w:hAnsi="Arial"/>
          <w:b/>
          <w:bCs/>
          <w:sz w:val="22"/>
          <w:szCs w:val="22"/>
        </w:rPr>
        <w:t xml:space="preserve">2022: </w:t>
      </w:r>
      <w:r>
        <w:rPr>
          <w:rFonts w:ascii="Arial" w:cs="Arial" w:eastAsia="Arial" w:hAnsi="Arial"/>
          <w:sz w:val="22"/>
          <w:szCs w:val="22"/>
        </w:rPr>
        <w:t xml:space="preserve">IMDA launches AI Verify — a government-backed AI governance testing framework combining technical tests with process checks against internationally recognised principles.³</w:t>
      </w:r>
    </w:p>
    <w:p>
      <w:pPr>
        <w:spacing w:after="200" w:before="0" w:line="276"/>
      </w:pPr>
      <w:r>
        <w:rPr>
          <w:rFonts w:ascii="Arial" w:cs="Arial" w:eastAsia="Arial" w:hAnsi="Arial"/>
          <w:b/>
          <w:bCs/>
          <w:sz w:val="22"/>
          <w:szCs w:val="22"/>
        </w:rPr>
        <w:t xml:space="preserve">2023: </w:t>
      </w:r>
      <w:r>
        <w:rPr>
          <w:rFonts w:ascii="Arial" w:cs="Arial" w:eastAsia="Arial" w:hAnsi="Arial"/>
          <w:sz w:val="22"/>
          <w:szCs w:val="22"/>
        </w:rPr>
        <w:t xml:space="preserve">AI Verify Foundation established as a not-for-profit with a growing international membership base (founding members include major technology companies and financial institutions). Veritas Toolkit becomes available as a plugin within the AI Verify software.⁴</w:t>
      </w:r>
    </w:p>
    <w:p>
      <w:pPr>
        <w:spacing w:after="200" w:before="0" w:line="276"/>
      </w:pPr>
      <w:r>
        <w:rPr>
          <w:rFonts w:ascii="Arial" w:cs="Arial" w:eastAsia="Arial" w:hAnsi="Arial"/>
          <w:b/>
          <w:bCs/>
          <w:sz w:val="22"/>
          <w:szCs w:val="22"/>
        </w:rPr>
        <w:t xml:space="preserve">2025: </w:t>
      </w:r>
      <w:r>
        <w:rPr>
          <w:rFonts w:ascii="Arial" w:cs="Arial" w:eastAsia="Arial" w:hAnsi="Arial"/>
          <w:sz w:val="22"/>
          <w:szCs w:val="22"/>
        </w:rPr>
        <w:t xml:space="preserve">AI Verify Testing Framework updated to cover both traditional and generative AI systems, with detailed process checks, evidence requirements, and documentation prompts. IMDA and AI Verify Foundation launch the Global AI Assurance Pilot. Singapore and the US publish a joint mapping of AI Verify to the NIST AI RMF, enabling interoperability between the two frameworks.⁵</w:t>
      </w:r>
    </w:p>
    <w:p>
      <w:pPr>
        <w:spacing w:after="200" w:before="0" w:line="276"/>
      </w:pPr>
      <w:r>
        <w:rPr>
          <w:rFonts w:ascii="Arial" w:cs="Arial" w:eastAsia="Arial" w:hAnsi="Arial"/>
          <w:sz w:val="22"/>
          <w:szCs w:val="22"/>
        </w:rPr>
        <w:t xml:space="preserve">For a financial institution in Singapore, this means FEAT principles, Veritas assessment methodology, and AI Verify testing can now be consolidated into a single testing and documentation workflow. Testing and documentation tooling converges — while governance obligations (accountability, approvals, disclosures, appeals) still require internal controls beyond any toolkit.</w:t>
      </w:r>
    </w:p>
    <w:p>
      <w:pPr>
        <w:pStyle w:val="Heading2"/>
        <w:spacing w:before="240" w:after="200"/>
      </w:pPr>
      <w:r>
        <w:t xml:space="preserve">1.2 So What? Three Practical Implications</w:t>
      </w:r>
    </w:p>
    <w:p>
      <w:pPr>
        <w:spacing w:after="200" w:before="0" w:line="276"/>
      </w:pPr>
      <w:r>
        <w:rPr>
          <w:rFonts w:ascii="Arial" w:cs="Arial" w:eastAsia="Arial" w:hAnsi="Arial"/>
          <w:b/>
          <w:bCs/>
          <w:sz w:val="22"/>
          <w:szCs w:val="22"/>
        </w:rPr>
        <w:t xml:space="preserve">Evidence portability. </w:t>
      </w:r>
      <w:r>
        <w:rPr>
          <w:rFonts w:ascii="Arial" w:cs="Arial" w:eastAsia="Arial" w:hAnsi="Arial"/>
          <w:sz w:val="22"/>
          <w:szCs w:val="22"/>
        </w:rPr>
        <w:t xml:space="preserve">Artifacts produced for AI Verify-style testing (model cards, fairness metrics, process documentation) can map into NIST AI RMF governance narratives via the published crosswalk. This means fewer bespoke decks and reports for each regulator — one evidence base, multiple framework mappings.</w:t>
      </w:r>
    </w:p>
    <w:p>
      <w:pPr>
        <w:spacing w:after="200" w:before="0" w:line="276"/>
      </w:pPr>
      <w:r>
        <w:rPr>
          <w:rFonts w:ascii="Arial" w:cs="Arial" w:eastAsia="Arial" w:hAnsi="Arial"/>
          <w:b/>
          <w:bCs/>
          <w:sz w:val="22"/>
          <w:szCs w:val="22"/>
        </w:rPr>
        <w:t xml:space="preserve">Toolchain convergence. </w:t>
      </w:r>
      <w:r>
        <w:rPr>
          <w:rFonts w:ascii="Arial" w:cs="Arial" w:eastAsia="Arial" w:hAnsi="Arial"/>
          <w:sz w:val="22"/>
          <w:szCs w:val="22"/>
        </w:rPr>
        <w:t xml:space="preserve">With Veritas as an AI Verify plugin, finance teams can run FEAT-aligned fairness assessments inside the AI Verify ecosystem rather than maintaining a separate methodology stack. This reduces tooling costs and training overhead.</w:t>
      </w:r>
    </w:p>
    <w:p>
      <w:pPr>
        <w:spacing w:after="200" w:before="0" w:line="276"/>
      </w:pPr>
      <w:r>
        <w:rPr>
          <w:rFonts w:ascii="Arial" w:cs="Arial" w:eastAsia="Arial" w:hAnsi="Arial"/>
          <w:b/>
          <w:bCs/>
          <w:sz w:val="22"/>
          <w:szCs w:val="22"/>
        </w:rPr>
        <w:t xml:space="preserve">Operating model shift. </w:t>
      </w:r>
      <w:r>
        <w:rPr>
          <w:rFonts w:ascii="Arial" w:cs="Arial" w:eastAsia="Arial" w:hAnsi="Arial"/>
          <w:sz w:val="22"/>
          <w:szCs w:val="22"/>
        </w:rPr>
        <w:t xml:space="preserve">Compliance moves from “framework-by-framework” (separate processes for each regulator) to “control-and-evidence system” (one lifecycle process that generates evidence reusable across frameworks). This is the operating model that mature risk functions already use for financial risk — now applied to AI risk.</w:t>
      </w:r>
    </w:p>
    <w:p>
      <w:pPr>
        <w:pBdr>
          <w:left w:val="single" w:color="1565C0" w:sz="12" w:space="8"/>
        </w:pBdr>
        <w:spacing w:after="200" w:before="100"/>
        <w:ind w:left="360" w:right="360"/>
      </w:pPr>
      <w:r>
        <w:rPr>
          <w:rFonts w:ascii="Arial" w:cs="Arial" w:eastAsia="Arial" w:hAnsi="Arial"/>
          <w:i/>
          <w:iCs/>
          <w:color w:val="0C1F3F"/>
          <w:sz w:val="20"/>
          <w:szCs w:val="20"/>
        </w:rPr>
        <w:t xml:space="preserve">Important: The AI Verify–NIST crosswalk enables mapping and supports reuse of evidence between frameworks. It does not mean compliance with one automatically satisfies the other. Each framework retains its own requirements, and organisations should verify coverage against each applicable framework’s specific obligations.</w:t>
      </w:r>
    </w:p>
    <w:p>
      <w:r>
        <w:br w:type="page"/>
      </w:r>
    </w:p>
    <w:p>
      <w:pPr>
        <w:pStyle w:val="Heading1"/>
        <w:spacing w:before="360" w:after="200"/>
      </w:pPr>
      <w:r>
        <w:t xml:space="preserve">2. What You Actually Need to Produce</w:t>
      </w:r>
    </w:p>
    <w:p>
      <w:pPr>
        <w:spacing w:after="200" w:before="0" w:line="276"/>
      </w:pPr>
      <w:r>
        <w:rPr>
          <w:rFonts w:ascii="Arial" w:cs="Arial" w:eastAsia="Arial" w:hAnsi="Arial"/>
          <w:sz w:val="22"/>
          <w:szCs w:val="22"/>
        </w:rPr>
        <w:t xml:space="preserve">Most cross-framework guides are organised by framework: “What does FEAT require? What does NIST require?” This is the wrong lens. If you are a Model Risk lead, you do not think in frameworks — you think in artifacts and evidence.</w:t>
      </w:r>
    </w:p>
    <w:p>
      <w:pPr>
        <w:spacing w:after="200" w:before="0" w:line="276"/>
      </w:pPr>
      <w:r>
        <w:rPr>
          <w:rFonts w:ascii="Arial" w:cs="Arial" w:eastAsia="Arial" w:hAnsi="Arial"/>
          <w:sz w:val="22"/>
          <w:szCs w:val="22"/>
        </w:rPr>
        <w:t xml:space="preserve">This section is organised by what you need to produce, not by who requires it. For each category, we show which frameworks demand it, what “good enough” looks like, and where the most prescriptive bar sits.</w:t>
      </w:r>
    </w:p>
    <w:p>
      <w:pPr>
        <w:pBdr>
          <w:left w:val="single" w:color="1565C0" w:sz="12" w:space="8"/>
        </w:pBdr>
        <w:spacing w:after="200" w:before="100"/>
        <w:ind w:left="360" w:right="360"/>
      </w:pPr>
      <w:r>
        <w:rPr>
          <w:rFonts w:ascii="Arial" w:cs="Arial" w:eastAsia="Arial" w:hAnsi="Arial"/>
          <w:i/>
          <w:iCs/>
          <w:color w:val="0C1F3F"/>
          <w:sz w:val="20"/>
          <w:szCs w:val="20"/>
        </w:rPr>
        <w:t xml:space="preserve">Note on EU AI Act references: Article numbers cited in this section are based on Regulation (EU) 2024/1689 as published. This is a simplified mapping; obligations vary by AI system risk category and may be affected by delegated acts and implementing guidance. Verify against the official text for compliance determinations.</w:t>
      </w:r>
    </w:p>
    <w:p>
      <w:pPr>
        <w:pStyle w:val="Heading2"/>
        <w:spacing w:before="240" w:after="200"/>
      </w:pPr>
      <w:r>
        <w:t xml:space="preserve">2.1 Governance Artifacts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00"/>
        <w:gridCol w:w="1700"/>
        <w:gridCol w:w="1800"/>
        <w:gridCol w:w="1960"/>
      </w:tblGrid>
      <w:tr>
        <w:trPr>
          <w:tblHeader/>
        </w:trPr>
        <w:tc>
          <w:tcPr>
            <w:tcW w:type="dxa" w:w="2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Artifact</w:t>
            </w:r>
          </w:p>
        </w:tc>
        <w:tc>
          <w:tcPr>
            <w:tcW w:type="dxa" w:w="17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MAS FEAT</w:t>
            </w:r>
          </w:p>
        </w:tc>
        <w:tc>
          <w:tcPr>
            <w:tcW w:type="dxa" w:w="17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AI Verify</w:t>
            </w:r>
          </w:p>
        </w:tc>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NIST AI RMF</w:t>
            </w:r>
          </w:p>
        </w:tc>
        <w:tc>
          <w:tcPr>
            <w:tcW w:type="dxa" w:w="19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EU AI Act</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AI/AIDA system inventory with risk classification</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 7: internal authorisation)</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(process check: system inventory)</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(Govern 1.1: document AI systems)</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(Art. 6–49: risk classification is the foundation)</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AI governance policy (roles, responsibilities, oversight structure)</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(Principles 7–9: accountability chain)</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(governance process checks)</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(Govern 1: policies and accountability)</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(Art. 9: quality management system)</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Risk tiering methodology</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(proportionality guidance in Veritas)</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(risk assessment process check)</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(Map 1: contextualise risk)</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(Art. 6: risk categorisation determines obligations)</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Board/senior management approval for high-risk AI use cases</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 7)</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(process check)</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(Govern 1.2: senior leadership)</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9: management oversight)</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Vendor/third-party AI due diligence records</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 8: external model accountability)</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C67E00"/>
                <w:sz w:val="16"/>
                <w:szCs w:val="16"/>
              </w:rPr>
              <w:t xml:space="preserve">Recommended</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(Map 3: third-party risks)</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16–17: provider obligations)</w:t>
            </w:r>
          </w:p>
        </w:tc>
      </w:tr>
    </w:tbl>
    <w:p>
      <w:pPr>
        <w:spacing w:after="100" w:before="0" w:line="276"/>
      </w:pPr>
      <w:r>
        <w:rPr>
          <w:rFonts w:ascii="Arial" w:cs="Arial" w:eastAsia="Arial" w:hAnsi="Arial"/>
          <w:sz w:val="22"/>
          <w:szCs w:val="22"/>
        </w:rPr>
        <w:t xml:space="preserve"/>
      </w:r>
    </w:p>
    <w:p>
      <w:pPr>
        <w:spacing w:after="200" w:before="0" w:line="276"/>
      </w:pPr>
      <w:r>
        <w:rPr>
          <w:rFonts w:ascii="Arial" w:cs="Arial" w:eastAsia="Arial" w:hAnsi="Arial"/>
          <w:b/>
          <w:bCs/>
          <w:color w:val="B33A2E"/>
          <w:sz w:val="22"/>
          <w:szCs w:val="22"/>
        </w:rPr>
        <w:t xml:space="preserve">Most prescriptive among these four: </w:t>
      </w:r>
      <w:r>
        <w:rPr>
          <w:rFonts w:ascii="Arial" w:cs="Arial" w:eastAsia="Arial" w:hAnsi="Arial"/>
          <w:sz w:val="22"/>
          <w:szCs w:val="22"/>
        </w:rPr>
        <w:t xml:space="preserve">EU AI Act. Risk classification is not advisory — it determines the entire regulatory obligation set. For high-risk systems, the quality management system, technical documentation, and management oversight requirements are prescriptive and auditable.</w:t>
      </w:r>
    </w:p>
    <w:p>
      <w:pPr>
        <w:pStyle w:val="Heading2"/>
        <w:spacing w:before="240" w:after="200"/>
      </w:pPr>
      <w:r>
        <w:t xml:space="preserve">2.2 Technical Artifacts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00"/>
        <w:gridCol w:w="1700"/>
        <w:gridCol w:w="1800"/>
        <w:gridCol w:w="1960"/>
      </w:tblGrid>
      <w:tr>
        <w:trPr>
          <w:tblHeader/>
        </w:trPr>
        <w:tc>
          <w:tcPr>
            <w:tcW w:type="dxa" w:w="2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Artifact</w:t>
            </w:r>
          </w:p>
        </w:tc>
        <w:tc>
          <w:tcPr>
            <w:tcW w:type="dxa" w:w="17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MAS FEAT</w:t>
            </w:r>
          </w:p>
        </w:tc>
        <w:tc>
          <w:tcPr>
            <w:tcW w:type="dxa" w:w="17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AI Verify</w:t>
            </w:r>
          </w:p>
        </w:tc>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NIST AI RMF</w:t>
            </w:r>
          </w:p>
        </w:tc>
        <w:tc>
          <w:tcPr>
            <w:tcW w:type="dxa" w:w="19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EU AI Act</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Model card / system documentation</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(Veritas methodology)</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(AI Verify documentation template)</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(Map 2.1–2.3: document model details)</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11: detailed technical docs)</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Data provenance and representativeness documentation</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 3: data validation)</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(data quality process check)</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(Map 2.2: data properties)</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10: data governance)</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Feature-level justification (personal attributes, proxies)</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 2)</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(fairness process check)</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(Map 2.3: context-relevant factors)</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Not explicitly required (but relevant under Art. 10 bias prevention)</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Fairness metrics by demographic group (selection rates, IRs, CIs)</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(Principles 1, 3, 4; Veritas fairness methodology)</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(fairness technical test)</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(Measure 2.6: bias evaluation)</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Not prescribed (but Art. 10 requires bias monitoring for high-risk)</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Intersectional analysis</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(Veritas Phase 2 methodology)</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C67E00"/>
                <w:sz w:val="16"/>
                <w:szCs w:val="16"/>
              </w:rPr>
              <w:t xml:space="preserve">Recommended</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(Measure 2.6)</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Not explicitly required</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Model performance metrics by subgroup (FPR, FNR, AUC disaggregated)</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 3: accuracy across groups)</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(performance technical test)</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(Measure 2: performance evaluation)</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9: accuracy, Art. 15: robustness)</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Explainability / interpretability documentation</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(Transparency principle)</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(transparency technical test + process check)</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(Measure 2.8: interpretability)</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13: transparency)</w:t>
            </w:r>
          </w:p>
        </w:tc>
      </w:tr>
    </w:tbl>
    <w:p>
      <w:pPr>
        <w:spacing w:after="100" w:before="0" w:line="276"/>
      </w:pPr>
      <w:r>
        <w:rPr>
          <w:rFonts w:ascii="Arial" w:cs="Arial" w:eastAsia="Arial" w:hAnsi="Arial"/>
          <w:sz w:val="22"/>
          <w:szCs w:val="22"/>
        </w:rPr>
        <w:t xml:space="preserve"/>
      </w:r>
    </w:p>
    <w:p>
      <w:pPr>
        <w:spacing w:after="200" w:before="0" w:line="276"/>
      </w:pPr>
      <w:r>
        <w:rPr>
          <w:rFonts w:ascii="Arial" w:cs="Arial" w:eastAsia="Arial" w:hAnsi="Arial"/>
          <w:b/>
          <w:bCs/>
          <w:color w:val="B33A2E"/>
          <w:sz w:val="22"/>
          <w:szCs w:val="22"/>
        </w:rPr>
        <w:t xml:space="preserve">Most prescriptive among these four: </w:t>
      </w:r>
      <w:r>
        <w:rPr>
          <w:rFonts w:ascii="Arial" w:cs="Arial" w:eastAsia="Arial" w:hAnsi="Arial"/>
          <w:sz w:val="22"/>
          <w:szCs w:val="22"/>
        </w:rPr>
        <w:t xml:space="preserve">FEAT for fairness-specific artifacts (it is the most prescriptive about demographic testing, proxy justification, and ongoing validation). EU AI Act for documentation breadth (technical documentation requirements under Art. 11 are the most comprehensive).</w:t>
      </w:r>
    </w:p>
    <w:p>
      <w:r>
        <w:br w:type="page"/>
      </w:r>
    </w:p>
    <w:p>
      <w:pPr>
        <w:pStyle w:val="Heading2"/>
        <w:spacing w:before="240" w:after="200"/>
      </w:pPr>
      <w:r>
        <w:t xml:space="preserve">2.3 Testing Runs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00"/>
        <w:gridCol w:w="1700"/>
        <w:gridCol w:w="1800"/>
        <w:gridCol w:w="1960"/>
      </w:tblGrid>
      <w:tr>
        <w:trPr>
          <w:tblHeader/>
        </w:trPr>
        <w:tc>
          <w:tcPr>
            <w:tcW w:type="dxa" w:w="2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Test Type</w:t>
            </w:r>
          </w:p>
        </w:tc>
        <w:tc>
          <w:tcPr>
            <w:tcW w:type="dxa" w:w="17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MAS FEAT</w:t>
            </w:r>
          </w:p>
        </w:tc>
        <w:tc>
          <w:tcPr>
            <w:tcW w:type="dxa" w:w="17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AI Verify</w:t>
            </w:r>
          </w:p>
        </w:tc>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NIST AI RMF</w:t>
            </w:r>
          </w:p>
        </w:tc>
        <w:tc>
          <w:tcPr>
            <w:tcW w:type="dxa" w:w="19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EU AI Act</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Fairness / bias diagnostics (rate-based, statistical)</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(Principles 1, 3, 4)</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(fairness technical tests)</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(Measure 2.6)</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10: bias prevention)</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Robustness / adversarial testing</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Not explicitly required</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(robustness technical test)</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(Measure 2.7)</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15: robustness, resilience)</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Security / vulnerability assessment</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Not explicitly required</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(security process check)</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(Manage 2: security risks)</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15: cybersecurity)</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Explainability validation</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(Principle 12: transparency)</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(transparency test)</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(Measure 2.8)</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13)</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LLM-specific testing (hallucination, harmful content, red-teaming)</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Not applicable (2018 framework, pre-GenAI)</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GenAI (2025 framework update; Project Moonshot toolkit)</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Addressed in GenAI profile (NIST AI 600-1)</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GPAI models (Art. 52–55)</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Ongoing monitoring / drift detection</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 4: outcome monitoring)</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(monitoring process check)</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(Manage 1: monitor risk)</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9: post-market monitoring)</w:t>
            </w:r>
          </w:p>
        </w:tc>
      </w:tr>
    </w:tbl>
    <w:p>
      <w:pPr>
        <w:spacing w:after="100" w:before="0" w:line="276"/>
      </w:pPr>
      <w:r>
        <w:rPr>
          <w:rFonts w:ascii="Arial" w:cs="Arial" w:eastAsia="Arial" w:hAnsi="Arial"/>
          <w:sz w:val="22"/>
          <w:szCs w:val="22"/>
        </w:rPr>
        <w:t xml:space="preserve"/>
      </w:r>
    </w:p>
    <w:p>
      <w:pPr>
        <w:spacing w:after="200" w:before="0" w:line="276"/>
      </w:pPr>
      <w:r>
        <w:rPr>
          <w:rFonts w:ascii="Arial" w:cs="Arial" w:eastAsia="Arial" w:hAnsi="Arial"/>
          <w:b/>
          <w:bCs/>
          <w:color w:val="B33A2E"/>
          <w:sz w:val="22"/>
          <w:szCs w:val="22"/>
        </w:rPr>
        <w:t xml:space="preserve">Most prescriptive among these four: </w:t>
      </w:r>
      <w:r>
        <w:rPr>
          <w:rFonts w:ascii="Arial" w:cs="Arial" w:eastAsia="Arial" w:hAnsi="Arial"/>
          <w:sz w:val="22"/>
          <w:szCs w:val="22"/>
        </w:rPr>
        <w:t xml:space="preserve">Among these four, AI Verify provides the most centralised testing toolkit. For fairness specifically, FEAT remains the most prescriptive. For GenAI safety testing, AI Verify (with Project Moonshot) and the EU AI Act (for GPAI models) set the highest expectations.</w:t>
      </w:r>
    </w:p>
    <w:p>
      <w:pPr>
        <w:pStyle w:val="Heading2"/>
        <w:spacing w:before="240" w:after="200"/>
      </w:pPr>
      <w:r>
        <w:t xml:space="preserve">2.4 Operational Artifacts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00"/>
        <w:gridCol w:w="1700"/>
        <w:gridCol w:w="1800"/>
        <w:gridCol w:w="1960"/>
      </w:tblGrid>
      <w:tr>
        <w:trPr>
          <w:tblHeader/>
        </w:trPr>
        <w:tc>
          <w:tcPr>
            <w:tcW w:type="dxa" w:w="2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Artifact</w:t>
            </w:r>
          </w:p>
        </w:tc>
        <w:tc>
          <w:tcPr>
            <w:tcW w:type="dxa" w:w="17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MAS FEAT</w:t>
            </w:r>
          </w:p>
        </w:tc>
        <w:tc>
          <w:tcPr>
            <w:tcW w:type="dxa" w:w="17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AI Verify</w:t>
            </w:r>
          </w:p>
        </w:tc>
        <w:tc>
          <w:tcPr>
            <w:tcW w:type="dxa" w:w="1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NIST AI RMF</w:t>
            </w:r>
          </w:p>
        </w:tc>
        <w:tc>
          <w:tcPr>
            <w:tcW w:type="dxa" w:w="19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EU AI Act</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Customer disclosure of AI use</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 12)</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(transparency process check)</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(Govern 4: stakeholder communication)</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(Art. 13: information to users; Art. 52: transparency for certain AI)</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Human review / appeal process for AI-driven decisions</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(Principles 10–11)</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(human oversight process check)</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(Govern 1.5: human oversight)</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14: human oversight)</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Incident response / escalation playbook</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(governance guidance)</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(incident management process check)</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(Manage 4: incident response)</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62: incident reporting to authorities)</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Change management / model update logs</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C67E00"/>
                <w:sz w:val="16"/>
                <w:szCs w:val="16"/>
              </w:rPr>
              <w:t xml:space="preserve">Recommended</w:t>
            </w:r>
          </w:p>
        </w:tc>
        <w:tc>
          <w:tcPr>
            <w:tcW w:type="dxa" w:w="17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(version management process check)</w:t>
            </w:r>
          </w:p>
        </w:tc>
        <w:tc>
          <w:tcPr>
            <w:tcW w:type="dxa" w:w="1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(Manage 3: manage change)</w:t>
            </w:r>
          </w:p>
        </w:tc>
        <w:tc>
          <w:tcPr>
            <w:tcW w:type="dxa" w:w="1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9: quality management; Art. 12: record-keeping)</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Remediation evidence (post-finding actions)</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Recommended (Veritas methodology)</w:t>
            </w:r>
          </w:p>
        </w:tc>
        <w:tc>
          <w:tcPr>
            <w:tcW w:type="dxa" w:w="17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(process check: corrective actions)</w:t>
            </w:r>
          </w:p>
        </w:tc>
        <w:tc>
          <w:tcPr>
            <w:tcW w:type="dxa" w:w="1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(Manage 2: mitigate risks)</w:t>
            </w:r>
          </w:p>
        </w:tc>
        <w:tc>
          <w:tcPr>
            <w:tcW w:type="dxa" w:w="1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Required for high-risk (Art. 9: corrective actions)</w:t>
            </w:r>
          </w:p>
        </w:tc>
      </w:tr>
    </w:tbl>
    <w:p>
      <w:pPr>
        <w:spacing w:after="100" w:before="0" w:line="276"/>
      </w:pPr>
      <w:r>
        <w:rPr>
          <w:rFonts w:ascii="Arial" w:cs="Arial" w:eastAsia="Arial" w:hAnsi="Arial"/>
          <w:sz w:val="22"/>
          <w:szCs w:val="22"/>
        </w:rPr>
        <w:t xml:space="preserve"/>
      </w:r>
    </w:p>
    <w:p>
      <w:pPr>
        <w:spacing w:after="200" w:before="0" w:line="276"/>
      </w:pPr>
      <w:r>
        <w:rPr>
          <w:rFonts w:ascii="Arial" w:cs="Arial" w:eastAsia="Arial" w:hAnsi="Arial"/>
          <w:b/>
          <w:bCs/>
          <w:color w:val="B33A2E"/>
          <w:sz w:val="22"/>
          <w:szCs w:val="22"/>
        </w:rPr>
        <w:t xml:space="preserve">Most prescriptive among these four: </w:t>
      </w:r>
      <w:r>
        <w:rPr>
          <w:rFonts w:ascii="Arial" w:cs="Arial" w:eastAsia="Arial" w:hAnsi="Arial"/>
          <w:sz w:val="22"/>
          <w:szCs w:val="22"/>
        </w:rPr>
        <w:t xml:space="preserve">EU AI Act for incident reporting (mandatory reporting to authorities). FEAT is more explicit than NIST or AI Verify on customer enquiry and appeal expectations (Principles 10–11). Disclosure content and level of detail depend on context, channel, and legal/IP constraints; frameworks expect meaningful notice and recourse, not necessarily feature-level explanations.</w:t>
      </w:r>
    </w:p>
    <w:p>
      <w:r>
        <w:br w:type="page"/>
      </w:r>
    </w:p>
    <w:p>
      <w:pPr>
        <w:pStyle w:val="Heading1"/>
        <w:spacing w:before="360" w:after="200"/>
      </w:pPr>
      <w:r>
        <w:t xml:space="preserve">3. The Overlap Map: Where Frameworks Align</w:t>
      </w:r>
    </w:p>
    <w:p>
      <w:pPr>
        <w:spacing w:after="200" w:before="0" w:line="276"/>
      </w:pPr>
      <w:r>
        <w:rPr>
          <w:rFonts w:ascii="Arial" w:cs="Arial" w:eastAsia="Arial" w:hAnsi="Arial"/>
          <w:sz w:val="22"/>
          <w:szCs w:val="22"/>
        </w:rPr>
        <w:t xml:space="preserve">The following matrix shows where a single evidence artifact or process satisfies multiple framework requirements simultaneously. These are your “do it once, use it everywhere” opportunities.</w:t>
      </w:r>
    </w:p>
    <w:p>
      <w:pPr>
        <w:spacing w:after="200" w:before="0" w:line="276"/>
      </w:pPr>
      <w:r>
        <w:rPr>
          <w:rFonts w:ascii="Arial" w:cs="Arial" w:eastAsia="Arial" w:hAnsi="Arial"/>
          <w:b/>
          <w:bCs/>
          <w:color w:val="546A8A"/>
          <w:sz w:val="20"/>
          <w:szCs w:val="20"/>
        </w:rPr>
        <w:t xml:space="preserve">Legend: </w:t>
      </w:r>
      <w:r>
        <w:rPr>
          <w:rFonts w:ascii="Arial" w:cs="Arial" w:eastAsia="Arial" w:hAnsi="Arial"/>
          <w:color w:val="546A8A"/>
          <w:sz w:val="20"/>
          <w:szCs w:val="20"/>
        </w:rPr>
        <w:t xml:space="preserve">✓ = explicit requirement  |  Partial = implied or encouraged but not prescriptive  |  ✗ = not addressed in this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900"/>
        <w:gridCol w:w="1000"/>
        <w:gridCol w:w="1000"/>
        <w:gridCol w:w="1000"/>
        <w:gridCol w:w="3260"/>
      </w:tblGrid>
      <w:tr>
        <w:trPr>
          <w:tblHeader/>
        </w:trPr>
        <w:tc>
          <w:tcPr>
            <w:tcW w:type="dxa" w:w="2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Control / Evidence</w:t>
            </w:r>
          </w:p>
        </w:tc>
        <w:tc>
          <w:tcPr>
            <w:tcW w:type="dxa" w:w="9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FEAT</w:t>
            </w:r>
          </w:p>
        </w:tc>
        <w:tc>
          <w:tcPr>
            <w:tcW w:type="dxa" w:w="1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AI Verify</w:t>
            </w:r>
          </w:p>
        </w:tc>
        <w:tc>
          <w:tcPr>
            <w:tcW w:type="dxa" w:w="1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NIST RMF</w:t>
            </w:r>
          </w:p>
        </w:tc>
        <w:tc>
          <w:tcPr>
            <w:tcW w:type="dxa" w:w="1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EU AI Act</w:t>
            </w:r>
          </w:p>
        </w:tc>
        <w:tc>
          <w:tcPr>
            <w:tcW w:type="dxa" w:w="32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Reuse Potential</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Model inventory + risk classification</w:t>
            </w:r>
          </w:p>
        </w:tc>
        <w:tc>
          <w:tcPr>
            <w:tcW w:type="dxa" w:w="9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32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High — core to all four</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Data provenance + representativeness checks</w:t>
            </w:r>
          </w:p>
        </w:tc>
        <w:tc>
          <w:tcPr>
            <w:tcW w:type="dxa" w:w="9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32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High — universal requirement</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Fairness metrics + demographic analysis</w:t>
            </w:r>
          </w:p>
        </w:tc>
        <w:tc>
          <w:tcPr>
            <w:tcW w:type="dxa" w:w="9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Partial</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Partial</w:t>
            </w:r>
          </w:p>
        </w:tc>
        <w:tc>
          <w:tcPr>
            <w:tcW w:type="dxa" w:w="32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Medium — FEAT/AI Verify most specific</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Model card / technical documentation</w:t>
            </w:r>
          </w:p>
        </w:tc>
        <w:tc>
          <w:tcPr>
            <w:tcW w:type="dxa" w:w="9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32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High — but EU AI Act has broadest template</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Explainability documentation</w:t>
            </w:r>
          </w:p>
        </w:tc>
        <w:tc>
          <w:tcPr>
            <w:tcW w:type="dxa" w:w="9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Partial</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32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High — AI Verify test output reusable</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Robustness / adversarial testing results</w:t>
            </w:r>
          </w:p>
        </w:tc>
        <w:tc>
          <w:tcPr>
            <w:tcW w:type="dxa" w:w="9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B33A2E"/>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32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Medium — FEAT gap; others aligned</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Monitoring + drift thresholds</w:t>
            </w:r>
          </w:p>
        </w:tc>
        <w:tc>
          <w:tcPr>
            <w:tcW w:type="dxa" w:w="9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32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High — core to all four</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Incident response + escalation</w:t>
            </w:r>
          </w:p>
        </w:tc>
        <w:tc>
          <w:tcPr>
            <w:tcW w:type="dxa" w:w="9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Partial</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32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High — but EU AI Act mandates authority reporting</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Human review / appeal process</w:t>
            </w:r>
          </w:p>
        </w:tc>
        <w:tc>
          <w:tcPr>
            <w:tcW w:type="dxa" w:w="9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Partial</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Partial</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32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Medium — FEAT and EU AI Act most specific</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Customer AI disclosure</w:t>
            </w:r>
          </w:p>
        </w:tc>
        <w:tc>
          <w:tcPr>
            <w:tcW w:type="dxa" w:w="9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Partial</w:t>
            </w:r>
          </w:p>
        </w:tc>
        <w:tc>
          <w:tcPr>
            <w:tcW w:type="dxa" w:w="1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32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High — but content requirements differ</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LLM safety testing (red-team, hallucination)</w:t>
            </w:r>
          </w:p>
        </w:tc>
        <w:tc>
          <w:tcPr>
            <w:tcW w:type="dxa" w:w="9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B33A2E"/>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1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2E7D4F"/>
                <w:sz w:val="16"/>
                <w:szCs w:val="16"/>
              </w:rPr>
              <w:t xml:space="preserve">✓</w:t>
            </w:r>
          </w:p>
        </w:tc>
        <w:tc>
          <w:tcPr>
            <w:tcW w:type="dxa" w:w="32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High for GenAI — FEAT predates this</w:t>
            </w:r>
          </w:p>
        </w:tc>
      </w:tr>
    </w:tbl>
    <w:p>
      <w:pPr>
        <w:spacing w:after="100" w:before="0" w:line="276"/>
      </w:pPr>
      <w:r>
        <w:rPr>
          <w:rFonts w:ascii="Arial" w:cs="Arial" w:eastAsia="Arial" w:hAnsi="Arial"/>
          <w:sz w:val="22"/>
          <w:szCs w:val="22"/>
        </w:rPr>
        <w:t xml:space="preserve"/>
      </w:r>
    </w:p>
    <w:p>
      <w:pPr>
        <w:spacing w:after="200" w:before="0" w:line="276"/>
      </w:pPr>
      <w:r>
        <w:rPr>
          <w:rFonts w:ascii="Arial" w:cs="Arial" w:eastAsia="Arial" w:hAnsi="Arial"/>
          <w:b/>
          <w:bCs/>
          <w:color w:val="0C1F3F"/>
          <w:sz w:val="22"/>
          <w:szCs w:val="22"/>
        </w:rPr>
        <w:t xml:space="preserve">Key takeaway: </w:t>
      </w:r>
      <w:r>
        <w:rPr>
          <w:rFonts w:ascii="Arial" w:cs="Arial" w:eastAsia="Arial" w:hAnsi="Arial"/>
          <w:sz w:val="22"/>
          <w:szCs w:val="22"/>
        </w:rPr>
        <w:t xml:space="preserve">Model inventory, data documentation, model cards, monitoring processes, and customer disclosure are required by all four frameworks. If you build these artifacts well once, they serve as the evidence base across jurisdictions. The highest-leverage investment is a well-structured model card and fairness assessment report that can be referenced by any framework’s audit trail.</w:t>
      </w:r>
    </w:p>
    <w:p>
      <w:r>
        <w:br w:type="page"/>
      </w:r>
    </w:p>
    <w:p>
      <w:pPr>
        <w:pStyle w:val="Heading1"/>
        <w:spacing w:before="360" w:after="200"/>
      </w:pPr>
      <w:r>
        <w:t xml:space="preserve">4. The Gap Map: Where Frameworks Diverge</w:t>
      </w:r>
    </w:p>
    <w:p>
      <w:pPr>
        <w:spacing w:after="200" w:before="0" w:line="276"/>
      </w:pPr>
      <w:r>
        <w:rPr>
          <w:rFonts w:ascii="Arial" w:cs="Arial" w:eastAsia="Arial" w:hAnsi="Arial"/>
          <w:sz w:val="22"/>
          <w:szCs w:val="22"/>
        </w:rPr>
        <w:t xml:space="preserve">Not all requirements overlap. Understanding gaps is essential to avoid false confidence that compliance with one framework covers another.</w:t>
      </w:r>
    </w:p>
    <w:p>
      <w:pPr>
        <w:pStyle w:val="Heading2"/>
        <w:spacing w:before="240" w:after="200"/>
      </w:pPr>
      <w:r>
        <w:t xml:space="preserve">4.1 Obligation Gaps: What One Framework Forces That Others Don’t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200"/>
        <w:gridCol w:w="4160"/>
      </w:tblGrid>
      <w:tr>
        <w:trPr>
          <w:tblHeader/>
        </w:trPr>
        <w:tc>
          <w:tcPr>
            <w:tcW w:type="dxa" w:w="30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Unique or Distinctive Obligation</w:t>
            </w:r>
          </w:p>
        </w:tc>
        <w:tc>
          <w:tcPr>
            <w:tcW w:type="dxa" w:w="2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Framework</w:t>
            </w:r>
          </w:p>
        </w:tc>
        <w:tc>
          <w:tcPr>
            <w:tcW w:type="dxa" w:w="41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Why It Matters</w:t>
            </w:r>
          </w:p>
        </w:tc>
      </w:tr>
      <w:tr>
        <w:tc>
          <w:tcPr>
            <w:tcW w:type="dxa" w:w="3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Mandatory incident reporting to government authorities</w:t>
            </w:r>
          </w:p>
        </w:tc>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(Art. 62)</w:t>
            </w:r>
          </w:p>
        </w:tc>
        <w:tc>
          <w:tcPr>
            <w:tcW w:type="dxa" w:w="41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No other framework in this set mandates reporting to a regulator. FEAT and NIST recommend internal escalation but not external notification.</w:t>
            </w:r>
          </w:p>
        </w:tc>
      </w:tr>
      <w:tr>
        <w:tc>
          <w:tcPr>
            <w:tcW w:type="dxa" w:w="3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Explicit proxy justification for personal attributes in model inputs</w:t>
            </w:r>
          </w:p>
        </w:tc>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MAS FEAT (Principle 2)</w:t>
            </w:r>
          </w:p>
        </w:tc>
        <w:tc>
          <w:tcPr>
            <w:tcW w:type="dxa" w:w="41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FEAT is uniquely specific about requiring documented business justification for each personal attribute. Others address bias prevention more generally.</w:t>
            </w:r>
          </w:p>
        </w:tc>
      </w:tr>
      <w:tr>
        <w:tc>
          <w:tcPr>
            <w:tcW w:type="dxa" w:w="3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Formal customer appeal process for AI-driven decisions</w:t>
            </w:r>
          </w:p>
        </w:tc>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MAS FEAT (Principles 10–11)</w:t>
            </w:r>
          </w:p>
        </w:tc>
        <w:tc>
          <w:tcPr>
            <w:tcW w:type="dxa" w:w="41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FEAT specifies that data subjects must have channels to enquire, appeal, and submit supplementary data. EU AI Act requires human oversight but is less specific about customer-facing appeal mechanisms.</w:t>
            </w:r>
          </w:p>
        </w:tc>
      </w:tr>
      <w:tr>
        <w:tc>
          <w:tcPr>
            <w:tcW w:type="dxa" w:w="3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Conformity assessment before market placement (for high-risk AI)</w:t>
            </w:r>
          </w:p>
        </w:tc>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(Art. 43)</w:t>
            </w:r>
          </w:p>
        </w:tc>
        <w:tc>
          <w:tcPr>
            <w:tcW w:type="dxa" w:w="41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No other framework requires a formal pre-market conformity assessment. Others are post-deployment / ongoing.</w:t>
            </w:r>
          </w:p>
        </w:tc>
      </w:tr>
      <w:tr>
        <w:tc>
          <w:tcPr>
            <w:tcW w:type="dxa" w:w="30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Mandatory registration in a public EU database</w:t>
            </w:r>
          </w:p>
        </w:tc>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(Art. 49)</w:t>
            </w:r>
          </w:p>
        </w:tc>
        <w:tc>
          <w:tcPr>
            <w:tcW w:type="dxa" w:w="41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High-risk AI systems must be registered before deployment. No equivalent in any other framework.</w:t>
            </w:r>
          </w:p>
        </w:tc>
      </w:tr>
      <w:tr>
        <w:tc>
          <w:tcPr>
            <w:tcW w:type="dxa" w:w="30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GenAI-specific red-teaming and safety evaluation</w:t>
            </w:r>
          </w:p>
        </w:tc>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AI Verify (2025 update); EU AI Act (GPAI provisions)</w:t>
            </w:r>
          </w:p>
        </w:tc>
        <w:tc>
          <w:tcPr>
            <w:tcW w:type="dxa" w:w="41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FEAT (2018) predates generative AI and does not address LLM-specific risks. Organisations using GenAI in FEAT-regulated contexts should supplement with AI Verify / NIST GenAI guidance.</w:t>
            </w:r>
          </w:p>
        </w:tc>
      </w:tr>
    </w:tbl>
    <w:p>
      <w:pPr>
        <w:pStyle w:val="Heading2"/>
        <w:spacing w:before="240" w:after="200"/>
      </w:pPr>
      <w:r>
        <w:t xml:space="preserve">4.2 Specificity Gaps: Where Frameworks Are Vague vs Concrete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360"/>
      </w:tblGrid>
      <w:tr>
        <w:trPr>
          <w:tblHeader/>
        </w:trPr>
        <w:tc>
          <w:tcPr>
            <w:tcW w:type="dxa" w:w="2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Dimension</w:t>
            </w:r>
          </w:p>
        </w:tc>
        <w:tc>
          <w:tcPr>
            <w:tcW w:type="dxa" w:w="3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Most Specific</w:t>
            </w:r>
          </w:p>
        </w:tc>
        <w:tc>
          <w:tcPr>
            <w:tcW w:type="dxa" w:w="33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Least Specific</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What fairness metric to use</w:t>
            </w:r>
          </w:p>
        </w:tc>
        <w:tc>
          <w:tcPr>
            <w:tcW w:type="dxa" w:w="3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MAS FEAT (FI chooses but must justify; Veritas provides worked examples)</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(bias prevention required but metric not prescribed)</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Technical documentation template</w:t>
            </w:r>
          </w:p>
        </w:tc>
        <w:tc>
          <w:tcPr>
            <w:tcW w:type="dxa" w:w="3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(Art. 11 Annex IV: detailed template provided)</w:t>
            </w:r>
          </w:p>
        </w:tc>
        <w:tc>
          <w:tcPr>
            <w:tcW w:type="dxa" w:w="3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MAS FEAT (documentation expected but format not specified)</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Risk classification criteria</w:t>
            </w:r>
          </w:p>
        </w:tc>
        <w:tc>
          <w:tcPr>
            <w:tcW w:type="dxa" w:w="3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(Art. 6 + Annex III: explicit list of high-risk categories)</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NIST AI RMF (risk-based but criteria left to organisation)</w:t>
            </w:r>
          </w:p>
        </w:tc>
      </w:tr>
      <w:tr>
        <w:tc>
          <w:tcPr>
            <w:tcW w:type="dxa" w:w="2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Ongoing monitoring requirements</w:t>
            </w:r>
          </w:p>
        </w:tc>
        <w:tc>
          <w:tcPr>
            <w:tcW w:type="dxa" w:w="3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(Art. 9: post-market monitoring plan mandated for high-risk)</w:t>
            </w:r>
          </w:p>
        </w:tc>
        <w:tc>
          <w:tcPr>
            <w:tcW w:type="dxa" w:w="33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NIST AI RMF (“monitor continuously” but cadence/thresholds left to organisation)</w:t>
            </w:r>
          </w:p>
        </w:tc>
      </w:tr>
      <w:tr>
        <w:tc>
          <w:tcPr>
            <w:tcW w:type="dxa" w:w="2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Customer-facing transparency</w:t>
            </w:r>
          </w:p>
        </w:tc>
        <w:tc>
          <w:tcPr>
            <w:tcW w:type="dxa" w:w="3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(Art. 13: detailed information requirements for users)</w:t>
            </w:r>
          </w:p>
        </w:tc>
        <w:tc>
          <w:tcPr>
            <w:tcW w:type="dxa" w:w="33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NIST AI RMF (transparency encouraged but not customer-facing)</w:t>
            </w:r>
          </w:p>
        </w:tc>
      </w:tr>
    </w:tbl>
    <w:p>
      <w:pPr>
        <w:spacing w:after="100" w:before="0" w:line="276"/>
      </w:pPr>
      <w:r>
        <w:rPr>
          <w:rFonts w:ascii="Arial" w:cs="Arial" w:eastAsia="Arial" w:hAnsi="Arial"/>
          <w:sz w:val="22"/>
          <w:szCs w:val="22"/>
        </w:rPr>
        <w:t xml:space="preserve"/>
      </w:r>
    </w:p>
    <w:p>
      <w:pPr>
        <w:spacing w:after="200" w:before="0" w:line="276"/>
      </w:pPr>
      <w:r>
        <w:rPr>
          <w:rFonts w:ascii="Arial" w:cs="Arial" w:eastAsia="Arial" w:hAnsi="Arial"/>
          <w:b/>
          <w:bCs/>
          <w:color w:val="0C1F3F"/>
          <w:sz w:val="22"/>
          <w:szCs w:val="22"/>
        </w:rPr>
        <w:t xml:space="preserve">Key takeaway: </w:t>
      </w:r>
      <w:r>
        <w:rPr>
          <w:rFonts w:ascii="Arial" w:cs="Arial" w:eastAsia="Arial" w:hAnsi="Arial"/>
          <w:sz w:val="22"/>
          <w:szCs w:val="22"/>
        </w:rPr>
        <w:t xml:space="preserve">FEAT is the most demanding on fairness methodology. The EU AI Act is the most demanding on documentation, registration, and incident reporting. AI Verify is the broadest in testing scope. NIST AI RMF is the most flexible (and therefore the least prescriptive). A “build once” strategy must account for the strictest requirement in each dimension.</w:t>
      </w:r>
    </w:p>
    <w:p>
      <w:r>
        <w:br w:type="page"/>
      </w:r>
    </w:p>
    <w:p>
      <w:pPr>
        <w:pStyle w:val="Heading1"/>
        <w:spacing w:before="360" w:after="200"/>
      </w:pPr>
      <w:r>
        <w:t xml:space="preserve">5. The Minimum Viable Evidence System</w:t>
      </w:r>
    </w:p>
    <w:p>
      <w:pPr>
        <w:spacing w:after="200" w:before="0" w:line="276"/>
      </w:pPr>
      <w:r>
        <w:rPr>
          <w:rFonts w:ascii="Arial" w:cs="Arial" w:eastAsia="Arial" w:hAnsi="Arial"/>
          <w:sz w:val="22"/>
          <w:szCs w:val="22"/>
        </w:rPr>
        <w:t xml:space="preserve">If you build to the most demanding standard on each dimension, what is the minimum set of artifacts and processes that covers all four frameworks? This is the “build once” architecture.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200"/>
        <w:gridCol w:w="2400"/>
        <w:gridCol w:w="2160"/>
      </w:tblGrid>
      <w:tr>
        <w:trPr>
          <w:tblHeader/>
        </w:trPr>
        <w:tc>
          <w:tcPr>
            <w:tcW w:type="dxa" w:w="16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Evidence Category</w:t>
            </w:r>
          </w:p>
        </w:tc>
        <w:tc>
          <w:tcPr>
            <w:tcW w:type="dxa" w:w="3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Minimum Viable Artifact</w:t>
            </w:r>
          </w:p>
        </w:tc>
        <w:tc>
          <w:tcPr>
            <w:tcW w:type="dxa" w:w="2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Driven By (Strictest Bar)</w:t>
            </w:r>
          </w:p>
        </w:tc>
        <w:tc>
          <w:tcPr>
            <w:tcW w:type="dxa" w:w="21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Reusable Across</w:t>
            </w:r>
          </w:p>
        </w:tc>
      </w:tr>
      <w:tr>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1. System inventory</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Register of all AI/AIDA systems with risk tier, data inputs, decision scope, deployment date</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(mandatory for high-risk; Art. 49 registration)</w:t>
            </w:r>
          </w:p>
        </w:tc>
        <w:tc>
          <w:tcPr>
            <w:tcW w:type="dxa" w:w="21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All four</w:t>
            </w:r>
          </w:p>
        </w:tc>
      </w:tr>
      <w:tr>
        <w:tc>
          <w:tcPr>
            <w:tcW w:type="dxa" w:w="1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2. Model documentation</w:t>
            </w:r>
          </w:p>
        </w:tc>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Model card per the EU AI Act Annex IV template, supplemented with FEAT fairness section and AI Verify test results</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(Annex IV) + FEAT (Principle 2 justifications)</w:t>
            </w:r>
          </w:p>
        </w:tc>
        <w:tc>
          <w:tcPr>
            <w:tcW w:type="dxa" w:w="21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All four</w:t>
            </w:r>
          </w:p>
        </w:tc>
      </w:tr>
      <w:tr>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3. Data documentation</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Data sheet covering provenance, representativeness, quality checks, demographic composition, and known gaps</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(Art. 10) + FEAT (Principle 3)</w:t>
            </w:r>
          </w:p>
        </w:tc>
        <w:tc>
          <w:tcPr>
            <w:tcW w:type="dxa" w:w="21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All four</w:t>
            </w:r>
          </w:p>
        </w:tc>
      </w:tr>
      <w:tr>
        <w:tc>
          <w:tcPr>
            <w:tcW w:type="dxa" w:w="1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4. Fairness assessment report</w:t>
            </w:r>
          </w:p>
        </w:tc>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Selection rates, impact ratios, statistical tests, intersectional analysis, proxy analysis, with documented reference group and metric justification</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FEAT (Principles 1–4; Veritas methodology)</w:t>
            </w:r>
          </w:p>
        </w:tc>
        <w:tc>
          <w:tcPr>
            <w:tcW w:type="dxa" w:w="21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FEAT, AI Verify, partial NIST/EU</w:t>
            </w:r>
          </w:p>
        </w:tc>
      </w:tr>
      <w:tr>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5. Technical test results</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Fairness, robustness, explainability, and security test outputs from AI Verify toolkit (or equivalent)</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AI Verify (broadest test coverage)</w:t>
            </w:r>
          </w:p>
        </w:tc>
        <w:tc>
          <w:tcPr>
            <w:tcW w:type="dxa" w:w="21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AI Verify, NIST, EU AI Act</w:t>
            </w:r>
          </w:p>
        </w:tc>
      </w:tr>
      <w:tr>
        <w:tc>
          <w:tcPr>
            <w:tcW w:type="dxa" w:w="1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6. Governance sign-offs</w:t>
            </w:r>
          </w:p>
        </w:tc>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Risk committee approval, board-level awareness documentation, with named accountable officers</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FEAT (Principle 7) + EU AI Act (Art. 9)</w:t>
            </w:r>
          </w:p>
        </w:tc>
        <w:tc>
          <w:tcPr>
            <w:tcW w:type="dxa" w:w="21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All four</w:t>
            </w:r>
          </w:p>
        </w:tc>
      </w:tr>
      <w:tr>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7. Customer disclosure</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Plain-language notice covering: AI involvement, data categories used, decision impact, appeal/review process</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FEAT (Principle 12) + EU AI Act (Art. 13)</w:t>
            </w:r>
          </w:p>
        </w:tc>
        <w:tc>
          <w:tcPr>
            <w:tcW w:type="dxa" w:w="21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All four</w:t>
            </w:r>
          </w:p>
        </w:tc>
      </w:tr>
      <w:tr>
        <w:tc>
          <w:tcPr>
            <w:tcW w:type="dxa" w:w="1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8. Appeal / human review process</w:t>
            </w:r>
          </w:p>
        </w:tc>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Documented process: how customers challenge AI decisions, how supplementary data is considered, timeline for review</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FEAT (Principles 10–11)</w:t>
            </w:r>
          </w:p>
        </w:tc>
        <w:tc>
          <w:tcPr>
            <w:tcW w:type="dxa" w:w="21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FEAT, EU AI Act</w:t>
            </w:r>
          </w:p>
        </w:tc>
      </w:tr>
      <w:tr>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9. Monitoring dashboard</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Quarterly fairness metrics by demographic group, drift detection, escalation thresholds, model performance tracking</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FEAT (Principle 4) + EU AI Act (Art. 9 post-market monitoring)</w:t>
            </w:r>
          </w:p>
        </w:tc>
        <w:tc>
          <w:tcPr>
            <w:tcW w:type="dxa" w:w="21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All four</w:t>
            </w:r>
          </w:p>
        </w:tc>
      </w:tr>
      <w:tr>
        <w:tc>
          <w:tcPr>
            <w:tcW w:type="dxa" w:w="16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10. Incident response playbook</w:t>
            </w:r>
          </w:p>
        </w:tc>
        <w:tc>
          <w:tcPr>
            <w:tcW w:type="dxa" w:w="3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Documented escalation path, authority notification procedures (for EU), remediation tracking, root-cause analysis template</w:t>
            </w:r>
          </w:p>
        </w:tc>
        <w:tc>
          <w:tcPr>
            <w:tcW w:type="dxa" w:w="2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EU AI Act (Art. 62: mandatory authority reporting)</w:t>
            </w:r>
          </w:p>
        </w:tc>
        <w:tc>
          <w:tcPr>
            <w:tcW w:type="dxa" w:w="21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All four (EU-specific reporting layer)</w:t>
            </w:r>
          </w:p>
        </w:tc>
      </w:tr>
      <w:tr>
        <w:tc>
          <w:tcPr>
            <w:tcW w:type="dxa" w:w="16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11. Use-case risk assessment memo</w:t>
            </w:r>
          </w:p>
        </w:tc>
        <w:tc>
          <w:tcPr>
            <w:tcW w:type="dxa" w:w="3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Single-page assessment per AI system: intended use, context, potential harms, affected populations, mitigations, residual risk acceptance</w:t>
            </w:r>
          </w:p>
        </w:tc>
        <w:tc>
          <w:tcPr>
            <w:tcW w:type="dxa" w:w="2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NIST AI RMF (Map/Measure/Manage cycle) + EU AI Act (risk classification rationale)</w:t>
            </w:r>
          </w:p>
        </w:tc>
        <w:tc>
          <w:tcPr>
            <w:tcW w:type="dxa" w:w="21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All four — the “spine” connecting all other artifacts</w:t>
            </w:r>
          </w:p>
        </w:tc>
      </w:tr>
    </w:tbl>
    <w:p>
      <w:pPr>
        <w:spacing w:after="100" w:before="0" w:line="276"/>
      </w:pPr>
      <w:r>
        <w:rPr>
          <w:rFonts w:ascii="Arial" w:cs="Arial" w:eastAsia="Arial" w:hAnsi="Arial"/>
          <w:sz w:val="22"/>
          <w:szCs w:val="22"/>
        </w:rPr>
        <w:t xml:space="preserve"/>
      </w:r>
    </w:p>
    <w:p>
      <w:pPr>
        <w:spacing w:after="200" w:before="0" w:line="276"/>
      </w:pPr>
      <w:r>
        <w:rPr>
          <w:rFonts w:ascii="Arial" w:cs="Arial" w:eastAsia="Arial" w:hAnsi="Arial"/>
          <w:sz w:val="22"/>
          <w:szCs w:val="22"/>
        </w:rPr>
        <w:t xml:space="preserve">These eleven artifacts, maintained and updated through the AI system lifecycle, form a compliance evidence base that maps to all four frameworks. Each artifact is produced once and referenced in framework-specific compliance narratives as needed.</w:t>
      </w:r>
    </w:p>
    <w:p>
      <w:r>
        <w:br w:type="page"/>
      </w:r>
    </w:p>
    <w:p>
      <w:pPr>
        <w:pStyle w:val="Heading1"/>
        <w:spacing w:before="360" w:after="200"/>
      </w:pPr>
      <w:r>
        <w:t xml:space="preserve">6. Who Owns What: RACI by Lifecycle Stage</w:t>
      </w:r>
    </w:p>
    <w:p>
      <w:pPr>
        <w:spacing w:after="200" w:before="0" w:line="276"/>
      </w:pPr>
      <w:r>
        <w:rPr>
          <w:rFonts w:ascii="Arial" w:cs="Arial" w:eastAsia="Arial" w:hAnsi="Arial"/>
          <w:sz w:val="22"/>
          <w:szCs w:val="22"/>
        </w:rPr>
        <w:t xml:space="preserve">The following matrix assigns Responsible (R), Accountable (A), Consulted (C), and Informed (I) roles across the AI system lifecycle. Adapt to your organisation’s structure.</w:t>
      </w:r>
    </w:p>
    <w:p>
      <w:pPr>
        <w:pStyle w:val="Heading2"/>
        <w:spacing w:before="240" w:after="200"/>
      </w:pPr>
      <w:r>
        <w:t xml:space="preserve">6.1 Design and Build Phase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00"/>
        <w:gridCol w:w="1200"/>
        <w:gridCol w:w="1500"/>
        <w:gridCol w:w="1400"/>
        <w:gridCol w:w="960"/>
      </w:tblGrid>
      <w:tr>
        <w:trPr>
          <w:tblHeader/>
        </w:trPr>
        <w:tc>
          <w:tcPr>
            <w:tcW w:type="dxa" w:w="2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Activity</w:t>
            </w:r>
          </w:p>
        </w:tc>
        <w:tc>
          <w:tcPr>
            <w:tcW w:type="dxa" w:w="15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Data Science / ML Eng</w:t>
            </w:r>
          </w:p>
        </w:tc>
        <w:tc>
          <w:tcPr>
            <w:tcW w:type="dxa" w:w="1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Model Risk</w:t>
            </w:r>
          </w:p>
        </w:tc>
        <w:tc>
          <w:tcPr>
            <w:tcW w:type="dxa" w:w="15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Compliance / Legal</w:t>
            </w:r>
          </w:p>
        </w:tc>
        <w:tc>
          <w:tcPr>
            <w:tcW w:type="dxa" w:w="1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Business Owner</w:t>
            </w:r>
          </w:p>
        </w:tc>
        <w:tc>
          <w:tcPr>
            <w:tcW w:type="dxa" w:w="9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CRO / Board</w:t>
            </w:r>
          </w:p>
        </w:tc>
      </w:tr>
      <w:tr>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Define use case and fairness objectives</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r>
      <w:tr>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Select and justify model inputs (incl. personal attributes)</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r>
      <w:tr>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Assess and document training data</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r>
      <w:tr>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Build model card / technical documentation</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r>
      <w:tr>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Conduct initial fairness and bias testing</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r>
      <w:tr>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Obtain governance approval for deployment</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r>
    </w:tbl>
    <w:p>
      <w:pPr>
        <w:pStyle w:val="Heading2"/>
        <w:spacing w:before="240" w:after="200"/>
      </w:pPr>
      <w:r>
        <w:t xml:space="preserve">6.2 Validation and Deploy Phase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00"/>
        <w:gridCol w:w="1200"/>
        <w:gridCol w:w="1500"/>
        <w:gridCol w:w="1400"/>
        <w:gridCol w:w="960"/>
      </w:tblGrid>
      <w:tr>
        <w:trPr>
          <w:tblHeader/>
        </w:trPr>
        <w:tc>
          <w:tcPr>
            <w:tcW w:type="dxa" w:w="2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Activity</w:t>
            </w:r>
          </w:p>
        </w:tc>
        <w:tc>
          <w:tcPr>
            <w:tcW w:type="dxa" w:w="15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Data Science / ML Eng</w:t>
            </w:r>
          </w:p>
        </w:tc>
        <w:tc>
          <w:tcPr>
            <w:tcW w:type="dxa" w:w="1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Model Risk</w:t>
            </w:r>
          </w:p>
        </w:tc>
        <w:tc>
          <w:tcPr>
            <w:tcW w:type="dxa" w:w="15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Compliance / Legal</w:t>
            </w:r>
          </w:p>
        </w:tc>
        <w:tc>
          <w:tcPr>
            <w:tcW w:type="dxa" w:w="1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Business Owner</w:t>
            </w:r>
          </w:p>
        </w:tc>
        <w:tc>
          <w:tcPr>
            <w:tcW w:type="dxa" w:w="9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CRO / Board</w:t>
            </w:r>
          </w:p>
        </w:tc>
      </w:tr>
      <w:tr>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Independent model validation</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r>
      <w:tr>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Run AI Verify / Veritas toolkit tests</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r>
      <w:tr>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Produce fairness assessment report</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r>
      <w:tr>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Draft customer-facing AI disclosure</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r>
      <w:tr>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Complete EU AI Act conformity assessment (if applicable)</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r>
      <w:tr>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Register in EU database (if applicable)</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r>
    </w:tbl>
    <w:p>
      <w:pPr>
        <w:pStyle w:val="Heading2"/>
        <w:spacing w:before="240" w:after="200"/>
      </w:pPr>
      <w:r>
        <w:t xml:space="preserve">6.3 Monitor and Change Phase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00"/>
        <w:gridCol w:w="1200"/>
        <w:gridCol w:w="1500"/>
        <w:gridCol w:w="1400"/>
        <w:gridCol w:w="960"/>
      </w:tblGrid>
      <w:tr>
        <w:trPr>
          <w:tblHeader/>
        </w:trPr>
        <w:tc>
          <w:tcPr>
            <w:tcW w:type="dxa" w:w="28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Activity</w:t>
            </w:r>
          </w:p>
        </w:tc>
        <w:tc>
          <w:tcPr>
            <w:tcW w:type="dxa" w:w="15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Data Science / ML Eng</w:t>
            </w:r>
          </w:p>
        </w:tc>
        <w:tc>
          <w:tcPr>
            <w:tcW w:type="dxa" w:w="12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Model Risk</w:t>
            </w:r>
          </w:p>
        </w:tc>
        <w:tc>
          <w:tcPr>
            <w:tcW w:type="dxa" w:w="15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Compliance / Legal</w:t>
            </w:r>
          </w:p>
        </w:tc>
        <w:tc>
          <w:tcPr>
            <w:tcW w:type="dxa" w:w="140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Business Owner</w:t>
            </w:r>
          </w:p>
        </w:tc>
        <w:tc>
          <w:tcPr>
            <w:tcW w:type="dxa" w:w="960"/>
            <w:tcBorders>
              <w:top w:val="single" w:color="D8DFE8" w:sz="1"/>
              <w:left w:val="single" w:color="D8DFE8" w:sz="1"/>
              <w:bottom w:val="single" w:color="D8DFE8" w:sz="1"/>
              <w:right w:val="single" w:color="D8DFE8" w:sz="1"/>
            </w:tcBorders>
            <w:shd w:fill="0C1F3F" w:val="clear"/>
            <w:tcMar>
              <w:top w:type="dxa" w:w="80"/>
              <w:left w:type="dxa" w:w="120"/>
              <w:bottom w:type="dxa" w:w="80"/>
              <w:right w:type="dxa" w:w="120"/>
            </w:tcMar>
            <w:vAlign w:val="center"/>
          </w:tcPr>
          <w:p>
            <w:pPr>
              <w:jc w:val="left"/>
            </w:pPr>
            <w:r>
              <w:rPr>
                <w:rFonts w:ascii="Arial" w:cs="Arial" w:eastAsia="Arial" w:hAnsi="Arial"/>
                <w:b/>
                <w:bCs/>
                <w:color w:val="FFFFFF"/>
                <w:sz w:val="16"/>
                <w:szCs w:val="16"/>
              </w:rPr>
              <w:t xml:space="preserve">CRO / Board</w:t>
            </w:r>
          </w:p>
        </w:tc>
      </w:tr>
      <w:tr>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Quarterly fairness monitoring</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r>
      <w:tr>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Drift detection and escalation</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 (if threshold breached)</w:t>
            </w:r>
          </w:p>
        </w:tc>
      </w:tr>
      <w:tr>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Annual comprehensive FEAT assessment</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r>
      <w:tr>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Handle customer appeals / human review</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r>
      <w:tr>
        <w:tc>
          <w:tcPr>
            <w:tcW w:type="dxa" w:w="28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bCs/>
                <w:color w:val="0C1F3F"/>
                <w:sz w:val="17"/>
                <w:szCs w:val="17"/>
              </w:rPr>
              <w:t xml:space="preserve">Incident response and authority notification</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2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5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40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960"/>
            <w:tcBorders>
              <w:top w:val="single" w:color="D8DFE8" w:sz="1"/>
              <w:left w:val="single" w:color="D8DFE8" w:sz="1"/>
              <w:bottom w:val="single" w:color="D8DFE8" w:sz="1"/>
              <w:right w:val="single" w:color="D8DFE8" w:sz="1"/>
            </w:tcBorders>
            <w:shd w:fill="FFFFFF"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r>
      <w:tr>
        <w:tc>
          <w:tcPr>
            <w:tcW w:type="dxa" w:w="28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bCs/>
                <w:color w:val="0C1F3F"/>
                <w:sz w:val="17"/>
                <w:szCs w:val="17"/>
              </w:rPr>
              <w:t xml:space="preserve">Model update / retraining governance</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R</w:t>
            </w:r>
          </w:p>
        </w:tc>
        <w:tc>
          <w:tcPr>
            <w:tcW w:type="dxa" w:w="12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A</w:t>
            </w:r>
          </w:p>
        </w:tc>
        <w:tc>
          <w:tcPr>
            <w:tcW w:type="dxa" w:w="15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140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C</w:t>
            </w:r>
          </w:p>
        </w:tc>
        <w:tc>
          <w:tcPr>
            <w:tcW w:type="dxa" w:w="960"/>
            <w:tcBorders>
              <w:top w:val="single" w:color="D8DFE8" w:sz="1"/>
              <w:left w:val="single" w:color="D8DFE8" w:sz="1"/>
              <w:bottom w:val="single" w:color="D8DFE8" w:sz="1"/>
              <w:right w:val="single" w:color="D8DFE8" w:sz="1"/>
            </w:tcBorders>
            <w:shd w:fill="EEF1F5" w:val="clear"/>
            <w:tcMar>
              <w:top w:type="dxa" w:w="80"/>
              <w:left w:type="dxa" w:w="120"/>
              <w:bottom w:type="dxa" w:w="80"/>
              <w:right w:type="dxa" w:w="120"/>
            </w:tcMar>
          </w:tcPr>
          <w:p>
            <w:pPr>
              <w:jc w:val="left"/>
            </w:pPr>
            <w:r>
              <w:rPr>
                <w:rFonts w:ascii="Arial" w:cs="Arial" w:eastAsia="Arial" w:hAnsi="Arial"/>
                <w:b w:val="false"/>
                <w:bCs w:val="false"/>
                <w:color w:val="0C1F3F"/>
                <w:sz w:val="16"/>
                <w:szCs w:val="16"/>
              </w:rPr>
              <w:t xml:space="preserve">I</w:t>
            </w:r>
          </w:p>
        </w:tc>
      </w:tr>
    </w:tbl>
    <w:p>
      <w:r>
        <w:br w:type="page"/>
      </w:r>
    </w:p>
    <w:p>
      <w:pPr>
        <w:pStyle w:val="Heading1"/>
        <w:spacing w:before="360" w:after="200"/>
      </w:pPr>
      <w:r>
        <w:t xml:space="preserve">7. What This Guide Is Not</w:t>
      </w:r>
    </w:p>
    <w:p>
      <w:pPr>
        <w:spacing w:after="200" w:before="0" w:line="276"/>
      </w:pPr>
      <w:r>
        <w:rPr>
          <w:rFonts w:ascii="Arial" w:cs="Arial" w:eastAsia="Arial" w:hAnsi="Arial"/>
          <w:b/>
          <w:bCs/>
          <w:sz w:val="22"/>
          <w:szCs w:val="22"/>
        </w:rPr>
        <w:t xml:space="preserve">This guide is not legal advice. </w:t>
      </w:r>
      <w:r>
        <w:rPr>
          <w:rFonts w:ascii="Arial" w:cs="Arial" w:eastAsia="Arial" w:hAnsi="Arial"/>
          <w:sz w:val="22"/>
          <w:szCs w:val="22"/>
        </w:rPr>
        <w:t xml:space="preserve">Each framework has its own legal and regulatory context. The EU AI Act, in particular, has specific obligations that vary by AI system risk category and that require jurisdiction-specific legal analysis. Consult legal counsel for compliance determinations.</w:t>
      </w:r>
    </w:p>
    <w:p>
      <w:pPr>
        <w:spacing w:after="200" w:before="0" w:line="276"/>
      </w:pPr>
      <w:r>
        <w:rPr>
          <w:rFonts w:ascii="Arial" w:cs="Arial" w:eastAsia="Arial" w:hAnsi="Arial"/>
          <w:b/>
          <w:bCs/>
          <w:sz w:val="22"/>
          <w:szCs w:val="22"/>
        </w:rPr>
        <w:t xml:space="preserve">Framework interoperability does not mean equivalence. </w:t>
      </w:r>
      <w:r>
        <w:rPr>
          <w:rFonts w:ascii="Arial" w:cs="Arial" w:eastAsia="Arial" w:hAnsi="Arial"/>
          <w:sz w:val="22"/>
          <w:szCs w:val="22"/>
        </w:rPr>
        <w:t xml:space="preserve">The AI Verify–NIST crosswalk and the artifact overlap map in this guide support evidence reuse and reduce duplication. They do not mean that compliance with one framework satisfies another. Each framework’s specific requirements must be verified independently.</w:t>
      </w:r>
    </w:p>
    <w:p>
      <w:pPr>
        <w:spacing w:after="200" w:before="0" w:line="276"/>
      </w:pPr>
      <w:r>
        <w:rPr>
          <w:rFonts w:ascii="Arial" w:cs="Arial" w:eastAsia="Arial" w:hAnsi="Arial"/>
          <w:b/>
          <w:bCs/>
          <w:sz w:val="22"/>
          <w:szCs w:val="22"/>
        </w:rPr>
        <w:t xml:space="preserve">Regulatory details are time-sensitive. </w:t>
      </w:r>
      <w:r>
        <w:rPr>
          <w:rFonts w:ascii="Arial" w:cs="Arial" w:eastAsia="Arial" w:hAnsi="Arial"/>
          <w:sz w:val="22"/>
          <w:szCs w:val="22"/>
        </w:rPr>
        <w:t xml:space="preserve">EU AI Act enforcement timelines, penalty provisions, and delegated acts are evolving as of the date of this guide (February 2026). Verify current status against official sources before making compliance decisions.</w:t>
      </w:r>
    </w:p>
    <w:p>
      <w:pPr>
        <w:spacing w:after="200" w:before="0" w:line="276"/>
      </w:pPr>
      <w:r>
        <w:rPr>
          <w:rFonts w:ascii="Arial" w:cs="Arial" w:eastAsia="Arial" w:hAnsi="Arial"/>
          <w:b/>
          <w:bCs/>
          <w:sz w:val="22"/>
          <w:szCs w:val="22"/>
        </w:rPr>
        <w:t xml:space="preserve">This guide focuses on governance and fairness. </w:t>
      </w:r>
      <w:r>
        <w:rPr>
          <w:rFonts w:ascii="Arial" w:cs="Arial" w:eastAsia="Arial" w:hAnsi="Arial"/>
          <w:sz w:val="22"/>
          <w:szCs w:val="22"/>
        </w:rPr>
        <w:t xml:space="preserve">Safety, security, and privacy aspects of AI governance are referenced where relevant but are not treated comprehensively. Organisations should address these dimensions through their existing risk management and information security frameworks.</w:t>
      </w:r>
    </w:p>
    <w:p>
      <w:pPr>
        <w:pStyle w:val="Heading1"/>
        <w:spacing w:before="360" w:after="200"/>
      </w:pPr>
      <w:r>
        <w:t xml:space="preserve">Next Steps</w:t>
      </w:r>
    </w:p>
    <w:p>
      <w:pPr>
        <w:spacing w:after="200" w:before="0" w:line="276"/>
      </w:pPr>
      <w:r>
        <w:rPr>
          <w:rFonts w:ascii="Arial" w:cs="Arial" w:eastAsia="Arial" w:hAnsi="Arial"/>
          <w:sz w:val="22"/>
          <w:szCs w:val="22"/>
        </w:rPr>
        <w:t xml:space="preserve">If your organisation needs to navigate multiple AI governance frameworks simultaneously, Minerva AI Assurance can support a scoped engagement: framework mapping to your existing AI systems, gap analysis against your current governance posture, or hands-on fairness assessment aligned to FEAT and AI Verify methodology.</w:t>
      </w:r>
    </w:p>
    <w:p>
      <w:pPr>
        <w:spacing w:after="200" w:before="0" w:line="276"/>
      </w:pPr>
      <w:r>
        <w:rPr>
          <w:rFonts w:ascii="Arial" w:cs="Arial" w:eastAsia="Arial" w:hAnsi="Arial"/>
          <w:b/>
          <w:bCs/>
          <w:color w:val="0C1F3F"/>
          <w:sz w:val="22"/>
          <w:szCs w:val="22"/>
        </w:rPr>
        <w:t xml:space="preserve">hello@trustminerva.com  |  trustminerva.com</w:t>
      </w:r>
    </w:p>
    <w:p>
      <w:r>
        <w:br w:type="page"/>
      </w:r>
    </w:p>
    <w:p>
      <w:pPr>
        <w:pStyle w:val="Heading1"/>
        <w:spacing w:before="360" w:after="200"/>
      </w:pPr>
      <w:r>
        <w:t xml:space="preserve">References</w:t>
      </w:r>
    </w:p>
    <w:p>
      <w:pPr>
        <w:spacing w:after="80"/>
      </w:pPr>
      <w:r>
        <w:rPr>
          <w:rFonts w:ascii="Arial" w:cs="Arial" w:eastAsia="Arial" w:hAnsi="Arial"/>
          <w:color w:val="7E90A6"/>
          <w:sz w:val="18"/>
          <w:szCs w:val="18"/>
        </w:rPr>
        <w:t xml:space="preserve">¹ MAS FEAT Principles (2018): mas.gov.sg/publications/monographs-or-information-paper/2018/feat</w:t>
      </w:r>
    </w:p>
    <w:p>
      <w:pPr>
        <w:spacing w:after="80"/>
      </w:pPr>
      <w:r>
        <w:rPr>
          <w:rFonts w:ascii="Arial" w:cs="Arial" w:eastAsia="Arial" w:hAnsi="Arial"/>
          <w:color w:val="7E90A6"/>
          <w:sz w:val="18"/>
          <w:szCs w:val="18"/>
        </w:rPr>
        <w:t xml:space="preserve">² MAS Veritas Initiative and consortium members: mas.gov.sg/schemes-and-initiatives/veritas</w:t>
      </w:r>
    </w:p>
    <w:p>
      <w:pPr>
        <w:spacing w:after="80"/>
      </w:pPr>
      <w:r>
        <w:rPr>
          <w:rFonts w:ascii="Arial" w:cs="Arial" w:eastAsia="Arial" w:hAnsi="Arial"/>
          <w:color w:val="7E90A6"/>
          <w:sz w:val="18"/>
          <w:szCs w:val="18"/>
        </w:rPr>
        <w:t xml:space="preserve">³ AI Verify Testing Framework: aiverifyfoundation.sg</w:t>
      </w:r>
    </w:p>
    <w:p>
      <w:pPr>
        <w:spacing w:after="80"/>
      </w:pPr>
      <w:r>
        <w:rPr>
          <w:rFonts w:ascii="Arial" w:cs="Arial" w:eastAsia="Arial" w:hAnsi="Arial"/>
          <w:color w:val="7E90A6"/>
          <w:sz w:val="18"/>
          <w:szCs w:val="18"/>
        </w:rPr>
        <w:t xml:space="preserve">⁴ AI Verify Foundation membership and governance: imda.gov.sg/about-imda/emerging-technologies-and-research/artificial-intelligence</w:t>
      </w:r>
    </w:p>
    <w:p>
      <w:pPr>
        <w:spacing w:after="80"/>
      </w:pPr>
      <w:r>
        <w:rPr>
          <w:rFonts w:ascii="Arial" w:cs="Arial" w:eastAsia="Arial" w:hAnsi="Arial"/>
          <w:color w:val="7E90A6"/>
          <w:sz w:val="18"/>
          <w:szCs w:val="18"/>
        </w:rPr>
        <w:t xml:space="preserve">⁵ AI Verify–NIST AI RMF crosswalk: announced at Asia Tech x Summit 2025; mapping published by IMDA and NIST</w:t>
      </w:r>
    </w:p>
    <w:p>
      <w:pPr>
        <w:spacing w:after="80"/>
      </w:pPr>
      <w:r>
        <w:rPr>
          <w:rFonts w:ascii="Arial" w:cs="Arial" w:eastAsia="Arial" w:hAnsi="Arial"/>
          <w:color w:val="7E90A6"/>
          <w:sz w:val="18"/>
          <w:szCs w:val="18"/>
        </w:rPr>
        <w:t xml:space="preserve">⁶ NIST AI RMF 1.0 and Playbook: nist.gov/itl/ai-risk-management-framework</w:t>
      </w:r>
    </w:p>
    <w:p>
      <w:pPr>
        <w:spacing w:after="80"/>
      </w:pPr>
      <w:r>
        <w:rPr>
          <w:rFonts w:ascii="Arial" w:cs="Arial" w:eastAsia="Arial" w:hAnsi="Arial"/>
          <w:color w:val="7E90A6"/>
          <w:sz w:val="18"/>
          <w:szCs w:val="18"/>
        </w:rPr>
        <w:t xml:space="preserve">⁷ EU AI Act: Regulation (EU) 2024/1689. Official text available at eur-lex.europa.eu</w:t>
      </w:r>
    </w:p>
    <w:p>
      <w:pPr>
        <w:spacing w:after="80"/>
      </w:pPr>
      <w:r>
        <w:rPr>
          <w:rFonts w:ascii="Arial" w:cs="Arial" w:eastAsia="Arial" w:hAnsi="Arial"/>
          <w:color w:val="7E90A6"/>
          <w:sz w:val="18"/>
          <w:szCs w:val="18"/>
        </w:rPr>
        <w:t xml:space="preserve">⁸ Veritas Toolkit v2.0 (open source): github.com/veritas-toolkit</w:t>
      </w:r>
    </w:p>
    <w:p>
      <w:pPr>
        <w:spacing w:after="80"/>
      </w:pPr>
      <w:r>
        <w:rPr>
          <w:rFonts w:ascii="Arial" w:cs="Arial" w:eastAsia="Arial" w:hAnsi="Arial"/>
          <w:color w:val="7E90A6"/>
          <w:sz w:val="18"/>
          <w:szCs w:val="18"/>
        </w:rPr>
        <w:t xml:space="preserve">⁹ NIST AI 600-1 (Generative AI profile): nist.gov/itl/ai-risk-management-framework</w:t>
      </w:r>
    </w:p>
    <w:p>
      <w:pPr>
        <w:spacing w:before="600"/>
      </w:pPr>
    </w:p>
    <w:p>
      <w:pPr>
        <w:pBdr>
          <w:bottom w:val="single" w:color="D8DFE8" w:sz="1" w:space="4"/>
        </w:pBdr>
        <w:spacing w:after="200"/>
      </w:pPr>
    </w:p>
    <w:p>
      <w:pPr>
        <w:spacing w:after="200" w:before="0" w:line="276"/>
      </w:pPr>
      <w:r>
        <w:rPr>
          <w:rFonts w:ascii="Arial" w:cs="Arial" w:eastAsia="Arial" w:hAnsi="Arial"/>
          <w:i/>
          <w:iCs/>
          <w:color w:val="7E90A6"/>
          <w:sz w:val="18"/>
          <w:szCs w:val="18"/>
        </w:rPr>
        <w:t xml:space="preserve">This guide is published by Minerva Lab, a publication by Minerva AI Assurance. It is provided for informational purposes and does not constitute legal or regulatory advice. Financial institutions should consult their legal counsel and compliance teams when implementing AI governance frameworks. All framework references are as of February 2026; verify current status against official sources.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E90A6"/>
        <w:sz w:val="16"/>
        <w:szCs w:val="16"/>
      </w:rPr>
      <w:t xml:space="preserve">Page </w:t>
    </w:r>
    <w:r>
      <w:rPr>
        <w:rFonts w:ascii="Arial" w:cs="Arial" w:eastAsia="Arial" w:hAnsi="Arial"/>
        <w:color w:val="7E90A6"/>
        <w:sz w:val="16"/>
        <w:szCs w:val="16"/>
      </w:rPr>
      <w:fldChar w:fldCharType="begin"/>
      <w:instrText xml:space="preserve">PAGE</w:instrText>
      <w:fldChar w:fldCharType="separate"/>
      <w:fldChar w:fldCharType="end"/>
    </w:r>
    <w:r>
      <w:rPr>
        <w:rFonts w:ascii="Arial" w:cs="Arial" w:eastAsia="Arial" w:hAnsi="Arial"/>
        <w:color w:val="7E90A6"/>
        <w:sz w:val="16"/>
        <w:szCs w:val="16"/>
      </w:rPr>
      <w:t xml:space="preserve">  |  hello@trustminerva.com  |  trustminerva.com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8DFE8" w:sz="1" w:space="4"/>
      </w:pBdr>
      <w:jc w:val="right"/>
    </w:pPr>
    <w:r>
      <w:rPr>
        <w:rFonts w:ascii="Arial" w:cs="Arial" w:eastAsia="Arial" w:hAnsi="Arial"/>
        <w:color w:val="7E90A6"/>
        <w:sz w:val="16"/>
        <w:szCs w:val="16"/>
      </w:rPr>
      <w:t xml:space="preserve">Minerva Lab  |  Cross-Framework Compliance Guide  |  February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0C1F3F"/>
      <w:sz w:val="32"/>
      <w:szCs w:val="32"/>
    </w:rPr>
  </w:style>
  <w:style w:type="paragraph" w:styleId="Heading2">
    <w:name w:val="Heading 2"/>
    <w:basedOn w:val="Normal"/>
    <w:next w:val="Normal"/>
    <w:qFormat/>
    <w:pPr>
      <w:spacing w:before="240" w:after="180"/>
      <w:outlineLvl w:val="1"/>
    </w:pPr>
    <w:rPr>
      <w:rFonts w:ascii="Arial" w:cs="Arial" w:eastAsia="Arial" w:hAnsi="Arial"/>
      <w:b/>
      <w:bCs/>
      <w:color w:val="0C1F3F"/>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546A8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2026-02-22T06:16:39.187Z</dcterms:created>
  <dcterms:modified xsi:type="dcterms:W3CDTF">2026-02-22T06:16:39.187Z</dcterms:modified>
</cp:coreProperties>
</file>

<file path=docProps/custom.xml><?xml version="1.0" encoding="utf-8"?>
<Properties xmlns="http://schemas.openxmlformats.org/officeDocument/2006/custom-properties" xmlns:vt="http://schemas.openxmlformats.org/officeDocument/2006/docPropsVTypes"/>
</file>